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38511D" w14:textId="77777777" w:rsidR="00F05B33" w:rsidRDefault="00F05B33">
      <w:pPr>
        <w:pBdr>
          <w:top w:val="nil"/>
          <w:left w:val="nil"/>
          <w:bottom w:val="nil"/>
          <w:right w:val="nil"/>
          <w:between w:val="nil"/>
        </w:pBdr>
        <w:rPr>
          <w:b/>
          <w:color w:val="231F20"/>
          <w:sz w:val="84"/>
          <w:szCs w:val="84"/>
        </w:rPr>
      </w:pPr>
    </w:p>
    <w:p w14:paraId="1F8C836E" w14:textId="77777777" w:rsidR="00F05B33" w:rsidRDefault="00F05B33"/>
    <w:p w14:paraId="6C9AC7C8" w14:textId="77777777" w:rsidR="00F05B33" w:rsidRDefault="00F05B33">
      <w:pPr>
        <w:pBdr>
          <w:top w:val="nil"/>
          <w:left w:val="nil"/>
          <w:bottom w:val="nil"/>
          <w:right w:val="nil"/>
          <w:between w:val="nil"/>
        </w:pBdr>
        <w:rPr>
          <w:b/>
          <w:color w:val="425563"/>
          <w:sz w:val="48"/>
          <w:szCs w:val="48"/>
        </w:rPr>
      </w:pPr>
    </w:p>
    <w:p w14:paraId="08EF4609" w14:textId="77777777" w:rsidR="00F05B33" w:rsidRDefault="00F05B33">
      <w:pPr>
        <w:pBdr>
          <w:top w:val="nil"/>
          <w:left w:val="nil"/>
          <w:bottom w:val="nil"/>
          <w:right w:val="nil"/>
          <w:between w:val="nil"/>
        </w:pBdr>
        <w:rPr>
          <w:b/>
          <w:color w:val="425563"/>
          <w:sz w:val="48"/>
          <w:szCs w:val="48"/>
        </w:rPr>
      </w:pPr>
    </w:p>
    <w:p w14:paraId="5E5E7CD7" w14:textId="77777777" w:rsidR="00F05B33" w:rsidRDefault="003B72E3">
      <w:pPr>
        <w:pBdr>
          <w:top w:val="nil"/>
          <w:left w:val="nil"/>
          <w:bottom w:val="nil"/>
          <w:right w:val="nil"/>
          <w:between w:val="nil"/>
        </w:pBdr>
        <w:rPr>
          <w:b/>
          <w:color w:val="425563"/>
          <w:sz w:val="48"/>
          <w:szCs w:val="48"/>
        </w:rPr>
      </w:pPr>
      <w:r>
        <w:rPr>
          <w:b/>
          <w:color w:val="425563"/>
          <w:sz w:val="48"/>
          <w:szCs w:val="48"/>
        </w:rPr>
        <w:tab/>
      </w:r>
    </w:p>
    <w:p w14:paraId="69E83F6F" w14:textId="77777777" w:rsidR="00F05B33" w:rsidRDefault="00F05B33"/>
    <w:p w14:paraId="0DD684C8" w14:textId="77777777" w:rsidR="00F05B33" w:rsidRDefault="00F05B33"/>
    <w:p w14:paraId="79B09F01" w14:textId="77777777" w:rsidR="00F05B33" w:rsidRDefault="00F05B33"/>
    <w:p w14:paraId="07D0EBF8" w14:textId="77777777" w:rsidR="00F05B33" w:rsidRDefault="00F05B33"/>
    <w:p w14:paraId="74F92D48" w14:textId="77777777" w:rsidR="00F05B33" w:rsidRDefault="00F05B33"/>
    <w:p w14:paraId="164B1919" w14:textId="77777777" w:rsidR="00F05B33" w:rsidRDefault="003B72E3">
      <w:r>
        <w:rPr>
          <w:noProof/>
        </w:rPr>
        <mc:AlternateContent>
          <mc:Choice Requires="wps">
            <w:drawing>
              <wp:anchor distT="0" distB="0" distL="114300" distR="114300" simplePos="0" relativeHeight="251658240" behindDoc="0" locked="0" layoutInCell="1" hidden="0" allowOverlap="1" wp14:anchorId="30377CAF" wp14:editId="5BB71F0A">
                <wp:simplePos x="0" y="0"/>
                <wp:positionH relativeFrom="page">
                  <wp:posOffset>650331</wp:posOffset>
                </wp:positionH>
                <wp:positionV relativeFrom="page">
                  <wp:posOffset>4021327</wp:posOffset>
                </wp:positionV>
                <wp:extent cx="6381115" cy="2452474"/>
                <wp:effectExtent l="0" t="0" r="0" b="0"/>
                <wp:wrapNone/>
                <wp:docPr id="11" name="Rectangle 11"/>
                <wp:cNvGraphicFramePr/>
                <a:graphic xmlns:a="http://schemas.openxmlformats.org/drawingml/2006/main">
                  <a:graphicData uri="http://schemas.microsoft.com/office/word/2010/wordprocessingShape">
                    <wps:wsp>
                      <wps:cNvSpPr/>
                      <wps:spPr>
                        <a:xfrm>
                          <a:off x="2160205" y="2558526"/>
                          <a:ext cx="6371590" cy="2442949"/>
                        </a:xfrm>
                        <a:prstGeom prst="rect">
                          <a:avLst/>
                        </a:prstGeom>
                        <a:noFill/>
                        <a:ln>
                          <a:noFill/>
                        </a:ln>
                      </wps:spPr>
                      <wps:txbx>
                        <w:txbxContent>
                          <w:p w14:paraId="4C9DF3FF" w14:textId="7736C08B" w:rsidR="00F05B33" w:rsidRDefault="00F11841">
                            <w:pPr>
                              <w:textDirection w:val="btLr"/>
                            </w:pPr>
                            <w:r>
                              <w:rPr>
                                <w:b/>
                                <w:color w:val="231F20"/>
                                <w:sz w:val="84"/>
                              </w:rPr>
                              <w:t>Suggestions for Cloud Business Case Narrative</w:t>
                            </w:r>
                          </w:p>
                          <w:p w14:paraId="62A65D2B" w14:textId="0272FF40" w:rsidR="00F05B33" w:rsidRDefault="00F11841">
                            <w:pPr>
                              <w:textDirection w:val="btLr"/>
                            </w:pPr>
                            <w:r>
                              <w:rPr>
                                <w:b/>
                                <w:color w:val="425563"/>
                                <w:sz w:val="48"/>
                              </w:rPr>
                              <w:t>Practical Help for IT Managers</w:t>
                            </w:r>
                          </w:p>
                        </w:txbxContent>
                      </wps:txbx>
                      <wps:bodyPr spcFirstLastPara="1" wrap="square" lIns="0" tIns="0" rIns="0" bIns="0" anchor="t" anchorCtr="0">
                        <a:noAutofit/>
                      </wps:bodyPr>
                    </wps:wsp>
                  </a:graphicData>
                </a:graphic>
              </wp:anchor>
            </w:drawing>
          </mc:Choice>
          <mc:Fallback>
            <w:pict>
              <v:rect w14:anchorId="30377CAF" id="Rectangle 11" o:spid="_x0000_s1026" style="position:absolute;margin-left:51.2pt;margin-top:316.65pt;width:502.45pt;height:193.1pt;z-index:251658240;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" filled="f" stroked="f">
                <v:textbox inset="0,0,0,0">
                  <w:txbxContent>
                    <w:p w14:paraId="4C9DF3FF" w14:textId="7736C08B" w:rsidR="00F05B33" w:rsidRDefault="00F11841">
                      <w:pPr>
                        <w:textDirection w:val="btLr"/>
                      </w:pPr>
                      <w:r>
                        <w:rPr>
                          <w:b/>
                          <w:color w:val="231F20"/>
                          <w:sz w:val="84"/>
                        </w:rPr>
                        <w:t>Suggestions for Cloud Business Case Narrative</w:t>
                      </w:r>
                    </w:p>
                    <w:p w14:paraId="62A65D2B" w14:textId="0272FF40" w:rsidR="00F05B33" w:rsidRDefault="00F11841">
                      <w:pPr>
                        <w:textDirection w:val="btLr"/>
                      </w:pPr>
                      <w:r>
                        <w:rPr>
                          <w:b/>
                          <w:color w:val="425563"/>
                          <w:sz w:val="48"/>
                        </w:rPr>
                        <w:t>Practical Help for IT Managers</w:t>
                      </w:r>
                    </w:p>
                  </w:txbxContent>
                </v:textbox>
                <w10:wrap anchorx="page" anchory="page"/>
              </v:rect>
            </w:pict>
          </mc:Fallback>
        </mc:AlternateContent>
      </w:r>
    </w:p>
    <w:p w14:paraId="5A0E83F6" w14:textId="77777777" w:rsidR="00F05B33" w:rsidRDefault="00F05B33"/>
    <w:p w14:paraId="79E950D3" w14:textId="77777777" w:rsidR="00F05B33" w:rsidRDefault="00F05B33"/>
    <w:p w14:paraId="06CEB467" w14:textId="77777777" w:rsidR="00F05B33" w:rsidRDefault="00F05B33"/>
    <w:p w14:paraId="42EB8FBC" w14:textId="77777777" w:rsidR="00F05B33" w:rsidRDefault="003B72E3">
      <w:r>
        <w:rPr>
          <w:noProof/>
        </w:rPr>
        <mc:AlternateContent>
          <mc:Choice Requires="wps">
            <w:drawing>
              <wp:anchor distT="0" distB="0" distL="114300" distR="114300" simplePos="0" relativeHeight="251659264" behindDoc="0" locked="0" layoutInCell="1" hidden="0" allowOverlap="1" wp14:anchorId="1B2EA355" wp14:editId="673CA3D5">
                <wp:simplePos x="0" y="0"/>
                <wp:positionH relativeFrom="page">
                  <wp:posOffset>643573</wp:posOffset>
                </wp:positionH>
                <wp:positionV relativeFrom="page">
                  <wp:posOffset>5233078</wp:posOffset>
                </wp:positionV>
                <wp:extent cx="4826325" cy="513525"/>
                <wp:effectExtent l="0" t="0" r="0" b="0"/>
                <wp:wrapNone/>
                <wp:docPr id="13" name="Rectangle 13"/>
                <wp:cNvGraphicFramePr/>
                <a:graphic xmlns:a="http://schemas.openxmlformats.org/drawingml/2006/main">
                  <a:graphicData uri="http://schemas.microsoft.com/office/word/2010/wordprocessingShape">
                    <wps:wsp>
                      <wps:cNvSpPr/>
                      <wps:spPr>
                        <a:xfrm>
                          <a:off x="2937600" y="3528000"/>
                          <a:ext cx="4816800" cy="504000"/>
                        </a:xfrm>
                        <a:prstGeom prst="rect">
                          <a:avLst/>
                        </a:prstGeom>
                        <a:noFill/>
                        <a:ln>
                          <a:noFill/>
                        </a:ln>
                      </wps:spPr>
                      <wps:txbx>
                        <w:txbxContent>
                          <w:p w14:paraId="7BF1BD5A" w14:textId="77777777" w:rsidR="00F05B33" w:rsidRDefault="003B72E3">
                            <w:pPr>
                              <w:spacing w:before="60" w:after="60"/>
                              <w:textDirection w:val="btLr"/>
                            </w:pPr>
                            <w:r>
                              <w:rPr>
                                <w:color w:val="FFFFFF"/>
                                <w:sz w:val="30"/>
                              </w:rPr>
                              <w:t>Published XX Month 2021</w:t>
                            </w:r>
                          </w:p>
                        </w:txbxContent>
                      </wps:txbx>
                      <wps:bodyPr spcFirstLastPara="1" wrap="square" lIns="0" tIns="0" rIns="0" bIns="0" anchor="t" anchorCtr="0">
                        <a:noAutofit/>
                      </wps:bodyPr>
                    </wps:wsp>
                  </a:graphicData>
                </a:graphic>
              </wp:anchor>
            </w:drawing>
          </mc:Choice>
          <mc:Fallback>
            <w:pict>
              <v:rect w14:anchorId="1B2EA355" id="Rectangle 13" o:spid="_x0000_s1027" style="position:absolute;margin-left:50.7pt;margin-top:412.05pt;width:380.05pt;height:40.45pt;z-index:251659264;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" filled="f" stroked="f">
                <v:textbox inset="0,0,0,0">
                  <w:txbxContent>
                    <w:p w14:paraId="7BF1BD5A" w14:textId="77777777" w:rsidR="00F05B33" w:rsidRDefault="003B72E3">
                      <w:pPr>
                        <w:spacing w:before="60" w:after="60"/>
                        <w:textDirection w:val="btLr"/>
                      </w:pPr>
                      <w:r>
                        <w:rPr>
                          <w:color w:val="FFFFFF"/>
                          <w:sz w:val="30"/>
                        </w:rPr>
                        <w:t>Published XX Month 2021</w:t>
                      </w:r>
                    </w:p>
                  </w:txbxContent>
                </v:textbox>
                <w10:wrap anchorx="page" anchory="page"/>
              </v:rect>
            </w:pict>
          </mc:Fallback>
        </mc:AlternateContent>
      </w:r>
    </w:p>
    <w:p w14:paraId="61F6019A" w14:textId="77777777" w:rsidR="00F05B33" w:rsidRDefault="00F05B33"/>
    <w:p w14:paraId="35A856C6" w14:textId="77777777" w:rsidR="00F05B33" w:rsidRDefault="00F05B33"/>
    <w:p w14:paraId="1615BE01" w14:textId="77777777" w:rsidR="00F05B33" w:rsidRDefault="00F05B33"/>
    <w:p w14:paraId="5B26D832" w14:textId="77777777" w:rsidR="00F05B33" w:rsidRDefault="00F05B33"/>
    <w:p w14:paraId="7C40D9F7" w14:textId="77777777" w:rsidR="00F05B33" w:rsidRDefault="00F05B33"/>
    <w:p w14:paraId="5EF6D6D5" w14:textId="77777777" w:rsidR="00F05B33" w:rsidRDefault="00F05B33"/>
    <w:p w14:paraId="3E9C9E31" w14:textId="77777777" w:rsidR="00F05B33" w:rsidRDefault="00F05B33"/>
    <w:p w14:paraId="196D9E76" w14:textId="77777777" w:rsidR="00F05B33" w:rsidRDefault="00F05B33">
      <w:pPr>
        <w:jc w:val="right"/>
      </w:pPr>
    </w:p>
    <w:p w14:paraId="1D64D47C" w14:textId="77777777" w:rsidR="00F05B33" w:rsidRDefault="00F05B33">
      <w:pPr>
        <w:sectPr w:rsidR="00F05B33">
          <w:headerReference w:type="default" r:id="rId8"/>
          <w:footerReference w:type="default" r:id="rId9"/>
          <w:headerReference w:type="first" r:id="rId10"/>
          <w:footerReference w:type="first" r:id="rId11"/>
          <w:pgSz w:w="11906" w:h="16838"/>
          <w:pgMar w:top="1021" w:right="1021" w:bottom="1021" w:left="1021" w:header="454" w:footer="680" w:gutter="0"/>
          <w:pgNumType w:start="1"/>
          <w:cols w:space="720"/>
          <w:titlePg/>
        </w:sectPr>
      </w:pPr>
    </w:p>
    <w:p w14:paraId="403854B1" w14:textId="77777777" w:rsidR="00F05B33" w:rsidRDefault="00F05B33">
      <w:pPr>
        <w:widowControl w:val="0"/>
        <w:pBdr>
          <w:top w:val="nil"/>
          <w:left w:val="nil"/>
          <w:bottom w:val="nil"/>
          <w:right w:val="nil"/>
          <w:between w:val="nil"/>
        </w:pBdr>
        <w:spacing w:after="0" w:line="276" w:lineRule="auto"/>
      </w:pPr>
    </w:p>
    <w:tbl>
      <w:tblPr>
        <w:tblStyle w:val="a"/>
        <w:tblW w:w="10080" w:type="dxa"/>
        <w:tblBorders>
          <w:top w:val="single" w:sz="4" w:space="0" w:color="829AAC"/>
          <w:left w:val="nil"/>
          <w:bottom w:val="single" w:sz="4" w:space="0" w:color="829AAC"/>
          <w:right w:val="nil"/>
          <w:insideH w:val="single" w:sz="4" w:space="0" w:color="829AAC"/>
          <w:insideV w:val="nil"/>
        </w:tblBorders>
        <w:tblLayout w:type="fixed"/>
        <w:tblLook w:val="0400" w:firstRow="0" w:lastRow="0" w:firstColumn="0" w:lastColumn="0" w:noHBand="0" w:noVBand="1"/>
      </w:tblPr>
      <w:tblGrid>
        <w:gridCol w:w="2660"/>
        <w:gridCol w:w="3544"/>
        <w:gridCol w:w="1984"/>
        <w:gridCol w:w="1892"/>
      </w:tblGrid>
      <w:tr w:rsidR="00F05B33" w14:paraId="54FF9051" w14:textId="77777777">
        <w:tc>
          <w:tcPr>
            <w:tcW w:w="2660" w:type="dxa"/>
            <w:vAlign w:val="center"/>
          </w:tcPr>
          <w:p w14:paraId="4C15D441" w14:textId="77777777" w:rsidR="00F05B33" w:rsidRDefault="003B72E3">
            <w:r>
              <w:t>Document filename:</w:t>
            </w:r>
          </w:p>
        </w:tc>
        <w:tc>
          <w:tcPr>
            <w:tcW w:w="7420" w:type="dxa"/>
            <w:gridSpan w:val="3"/>
            <w:vAlign w:val="center"/>
          </w:tcPr>
          <w:p w14:paraId="7C7CA62A" w14:textId="4D3D179E" w:rsidR="00F05B33" w:rsidRDefault="00F11841">
            <w:pPr>
              <w:rPr>
                <w:b/>
              </w:rPr>
            </w:pPr>
            <w:r w:rsidRPr="00F11841">
              <w:rPr>
                <w:b/>
              </w:rPr>
              <w:t>Suggestions for Cloud Business Case Narrative.docx</w:t>
            </w:r>
          </w:p>
        </w:tc>
      </w:tr>
      <w:tr w:rsidR="00F05B33" w14:paraId="0CC8A409" w14:textId="77777777">
        <w:tc>
          <w:tcPr>
            <w:tcW w:w="2660" w:type="dxa"/>
            <w:vAlign w:val="center"/>
          </w:tcPr>
          <w:p w14:paraId="6B506564" w14:textId="77777777" w:rsidR="00F05B33" w:rsidRDefault="003B72E3">
            <w:r>
              <w:t>Project / Programme</w:t>
            </w:r>
          </w:p>
        </w:tc>
        <w:tc>
          <w:tcPr>
            <w:tcW w:w="3544" w:type="dxa"/>
            <w:tcBorders>
              <w:right w:val="single" w:sz="4" w:space="0" w:color="829AAC"/>
            </w:tcBorders>
            <w:vAlign w:val="center"/>
          </w:tcPr>
          <w:p w14:paraId="064E91BC" w14:textId="26B5960E" w:rsidR="00F05B33" w:rsidRDefault="00F11841">
            <w:pPr>
              <w:rPr>
                <w:b/>
              </w:rPr>
            </w:pPr>
            <w:r>
              <w:rPr>
                <w:b/>
              </w:rPr>
              <w:t>Sustainable Hybrid Cloud</w:t>
            </w:r>
          </w:p>
        </w:tc>
        <w:tc>
          <w:tcPr>
            <w:tcW w:w="1984" w:type="dxa"/>
            <w:tcBorders>
              <w:left w:val="single" w:sz="4" w:space="0" w:color="829AAC"/>
            </w:tcBorders>
            <w:vAlign w:val="center"/>
          </w:tcPr>
          <w:p w14:paraId="0F399C10" w14:textId="77777777" w:rsidR="00F05B33" w:rsidRDefault="003B72E3">
            <w:r>
              <w:t>Project</w:t>
            </w:r>
          </w:p>
        </w:tc>
        <w:tc>
          <w:tcPr>
            <w:tcW w:w="1892" w:type="dxa"/>
            <w:vAlign w:val="center"/>
          </w:tcPr>
          <w:p w14:paraId="3024BF38" w14:textId="2EA23623" w:rsidR="00F05B33" w:rsidRDefault="00F11841">
            <w:pPr>
              <w:rPr>
                <w:b/>
              </w:rPr>
            </w:pPr>
            <w:proofErr w:type="spellStart"/>
            <w:r>
              <w:rPr>
                <w:b/>
              </w:rPr>
              <w:t>CCoE</w:t>
            </w:r>
            <w:proofErr w:type="spellEnd"/>
            <w:r>
              <w:rPr>
                <w:b/>
              </w:rPr>
              <w:t xml:space="preserve"> Portal</w:t>
            </w:r>
          </w:p>
        </w:tc>
      </w:tr>
      <w:tr w:rsidR="00F05B33" w14:paraId="5F160139" w14:textId="77777777">
        <w:tc>
          <w:tcPr>
            <w:tcW w:w="2660" w:type="dxa"/>
            <w:vAlign w:val="center"/>
          </w:tcPr>
          <w:p w14:paraId="084994D6" w14:textId="77777777" w:rsidR="00F05B33" w:rsidRDefault="003B72E3">
            <w:r>
              <w:t>Document Reference</w:t>
            </w:r>
          </w:p>
        </w:tc>
        <w:tc>
          <w:tcPr>
            <w:tcW w:w="7420" w:type="dxa"/>
            <w:gridSpan w:val="3"/>
            <w:vAlign w:val="center"/>
          </w:tcPr>
          <w:p w14:paraId="09DF85A0" w14:textId="77777777" w:rsidR="00F05B33" w:rsidRDefault="003B72E3">
            <w:pPr>
              <w:rPr>
                <w:b/>
              </w:rPr>
            </w:pPr>
            <w:r>
              <w:rPr>
                <w:b/>
              </w:rPr>
              <w:t>&lt;insert&gt;</w:t>
            </w:r>
          </w:p>
        </w:tc>
      </w:tr>
      <w:tr w:rsidR="00F05B33" w14:paraId="1858E74E" w14:textId="77777777">
        <w:tc>
          <w:tcPr>
            <w:tcW w:w="2660" w:type="dxa"/>
            <w:vAlign w:val="center"/>
          </w:tcPr>
          <w:p w14:paraId="6A39C717" w14:textId="316049AE" w:rsidR="00F05B33" w:rsidRDefault="00F05B33"/>
        </w:tc>
        <w:tc>
          <w:tcPr>
            <w:tcW w:w="3544" w:type="dxa"/>
            <w:tcBorders>
              <w:right w:val="single" w:sz="4" w:space="0" w:color="829AAC"/>
            </w:tcBorders>
            <w:vAlign w:val="center"/>
          </w:tcPr>
          <w:p w14:paraId="45979FF6" w14:textId="77777777" w:rsidR="00F05B33" w:rsidRDefault="003B72E3">
            <w:pPr>
              <w:rPr>
                <w:b/>
              </w:rPr>
            </w:pPr>
            <w:r>
              <w:rPr>
                <w:b/>
              </w:rPr>
              <w:t>&lt;insert&gt;</w:t>
            </w:r>
          </w:p>
        </w:tc>
        <w:tc>
          <w:tcPr>
            <w:tcW w:w="1984" w:type="dxa"/>
            <w:tcBorders>
              <w:left w:val="single" w:sz="4" w:space="0" w:color="829AAC"/>
            </w:tcBorders>
            <w:vAlign w:val="center"/>
          </w:tcPr>
          <w:p w14:paraId="64E07BB4" w14:textId="77777777" w:rsidR="00F05B33" w:rsidRDefault="003B72E3">
            <w:r>
              <w:t>Status</w:t>
            </w:r>
          </w:p>
        </w:tc>
        <w:tc>
          <w:tcPr>
            <w:tcW w:w="1892" w:type="dxa"/>
            <w:vAlign w:val="center"/>
          </w:tcPr>
          <w:p w14:paraId="12F69258" w14:textId="4A113DB8" w:rsidR="00F05B33" w:rsidRDefault="00F11841">
            <w:pPr>
              <w:rPr>
                <w:b/>
              </w:rPr>
            </w:pPr>
            <w:r>
              <w:rPr>
                <w:color w:val="000000"/>
                <w:sz w:val="20"/>
                <w:szCs w:val="20"/>
              </w:rPr>
              <w:t>Draft</w:t>
            </w:r>
          </w:p>
        </w:tc>
      </w:tr>
      <w:tr w:rsidR="00F05B33" w14:paraId="5ACA1137" w14:textId="77777777">
        <w:tc>
          <w:tcPr>
            <w:tcW w:w="2660" w:type="dxa"/>
            <w:vAlign w:val="center"/>
          </w:tcPr>
          <w:p w14:paraId="25AE4AB1" w14:textId="77777777" w:rsidR="00F05B33" w:rsidRDefault="003B72E3">
            <w:r>
              <w:t>Owner</w:t>
            </w:r>
          </w:p>
        </w:tc>
        <w:tc>
          <w:tcPr>
            <w:tcW w:w="3544" w:type="dxa"/>
            <w:tcBorders>
              <w:right w:val="single" w:sz="4" w:space="0" w:color="829AAC"/>
            </w:tcBorders>
            <w:vAlign w:val="center"/>
          </w:tcPr>
          <w:p w14:paraId="2A743A59" w14:textId="7D891C49" w:rsidR="00F05B33" w:rsidRDefault="00F11841">
            <w:r>
              <w:rPr>
                <w:b/>
              </w:rPr>
              <w:t>Neil Gibbs</w:t>
            </w:r>
          </w:p>
        </w:tc>
        <w:tc>
          <w:tcPr>
            <w:tcW w:w="1984" w:type="dxa"/>
            <w:tcBorders>
              <w:left w:val="single" w:sz="4" w:space="0" w:color="829AAC"/>
            </w:tcBorders>
            <w:vAlign w:val="center"/>
          </w:tcPr>
          <w:p w14:paraId="47EF3E33" w14:textId="77777777" w:rsidR="00F05B33" w:rsidRDefault="003B72E3">
            <w:r>
              <w:t>Version</w:t>
            </w:r>
          </w:p>
        </w:tc>
        <w:tc>
          <w:tcPr>
            <w:tcW w:w="1892" w:type="dxa"/>
            <w:vAlign w:val="center"/>
          </w:tcPr>
          <w:p w14:paraId="40320A83" w14:textId="77777777" w:rsidR="00F05B33" w:rsidRDefault="003B72E3">
            <w:pPr>
              <w:rPr>
                <w:b/>
              </w:rPr>
            </w:pPr>
            <w:r>
              <w:rPr>
                <w:color w:val="425563"/>
                <w:sz w:val="20"/>
                <w:szCs w:val="20"/>
              </w:rPr>
              <w:t>0.1</w:t>
            </w:r>
          </w:p>
        </w:tc>
      </w:tr>
      <w:tr w:rsidR="00F05B33" w14:paraId="2DBD6218" w14:textId="77777777">
        <w:tc>
          <w:tcPr>
            <w:tcW w:w="2660" w:type="dxa"/>
            <w:vAlign w:val="center"/>
          </w:tcPr>
          <w:p w14:paraId="15034BB7" w14:textId="77777777" w:rsidR="00F05B33" w:rsidRDefault="003B72E3">
            <w:r>
              <w:t>Author</w:t>
            </w:r>
          </w:p>
        </w:tc>
        <w:tc>
          <w:tcPr>
            <w:tcW w:w="3544" w:type="dxa"/>
            <w:tcBorders>
              <w:right w:val="single" w:sz="4" w:space="0" w:color="829AAC"/>
            </w:tcBorders>
            <w:vAlign w:val="center"/>
          </w:tcPr>
          <w:p w14:paraId="3A7C7210" w14:textId="67E0D03E" w:rsidR="00F05B33" w:rsidRDefault="00F11841">
            <w:r>
              <w:rPr>
                <w:b/>
              </w:rPr>
              <w:t>DO’C</w:t>
            </w:r>
          </w:p>
        </w:tc>
        <w:tc>
          <w:tcPr>
            <w:tcW w:w="1984" w:type="dxa"/>
            <w:tcBorders>
              <w:left w:val="single" w:sz="4" w:space="0" w:color="829AAC"/>
            </w:tcBorders>
            <w:vAlign w:val="center"/>
          </w:tcPr>
          <w:p w14:paraId="5330ADB2" w14:textId="77777777" w:rsidR="00F05B33" w:rsidRDefault="003B72E3">
            <w:r>
              <w:t>Version issue date</w:t>
            </w:r>
          </w:p>
        </w:tc>
        <w:tc>
          <w:tcPr>
            <w:tcW w:w="1892" w:type="dxa"/>
            <w:vAlign w:val="center"/>
          </w:tcPr>
          <w:p w14:paraId="0D84765C" w14:textId="081BC7E1" w:rsidR="00F05B33" w:rsidRDefault="00F11841">
            <w:pPr>
              <w:rPr>
                <w:b/>
              </w:rPr>
            </w:pPr>
            <w:r>
              <w:rPr>
                <w:color w:val="000000"/>
                <w:sz w:val="20"/>
                <w:szCs w:val="20"/>
              </w:rPr>
              <w:t>22 June 2022</w:t>
            </w:r>
          </w:p>
        </w:tc>
      </w:tr>
    </w:tbl>
    <w:p w14:paraId="0D9F2BAB" w14:textId="77777777" w:rsidR="00F05B33" w:rsidRDefault="00F05B33">
      <w:pPr>
        <w:rPr>
          <w:b/>
          <w:color w:val="231F20"/>
          <w:sz w:val="42"/>
          <w:szCs w:val="42"/>
        </w:rPr>
      </w:pPr>
    </w:p>
    <w:p w14:paraId="2E5AF4B2" w14:textId="77777777" w:rsidR="00F05B33" w:rsidRDefault="003B72E3">
      <w:pPr>
        <w:spacing w:after="0"/>
        <w:rPr>
          <w:b/>
          <w:color w:val="231F20"/>
          <w:sz w:val="42"/>
          <w:szCs w:val="42"/>
        </w:rPr>
      </w:pPr>
      <w:r>
        <w:br w:type="page"/>
      </w:r>
    </w:p>
    <w:p w14:paraId="726A25A1" w14:textId="77777777" w:rsidR="00F05B33" w:rsidRDefault="003B72E3">
      <w:pPr>
        <w:rPr>
          <w:b/>
          <w:color w:val="231F20"/>
          <w:sz w:val="42"/>
          <w:szCs w:val="42"/>
        </w:rPr>
      </w:pPr>
      <w:r>
        <w:rPr>
          <w:b/>
          <w:color w:val="231F20"/>
          <w:sz w:val="42"/>
          <w:szCs w:val="42"/>
        </w:rPr>
        <w:t>Contents</w:t>
      </w:r>
    </w:p>
    <w:sdt>
      <w:sdtPr>
        <w:rPr>
          <w:b w:val="0"/>
          <w:noProof w:val="0"/>
          <w:color w:val="425563" w:themeColor="accent6"/>
          <w:sz w:val="24"/>
        </w:rPr>
        <w:id w:val="1284311307"/>
        <w:docPartObj>
          <w:docPartGallery w:val="Table of Contents"/>
          <w:docPartUnique/>
        </w:docPartObj>
      </w:sdtPr>
      <w:sdtEndPr/>
      <w:sdtContent>
        <w:p w14:paraId="70999B05" w14:textId="425292AD" w:rsidR="00910EFE" w:rsidRDefault="003B72E3">
          <w:pPr>
            <w:pStyle w:val="TOC1"/>
            <w:rPr>
              <w:rFonts w:asciiTheme="minorHAnsi" w:eastAsiaTheme="minorEastAsia" w:hAnsiTheme="minorHAnsi" w:cstheme="minorBidi"/>
              <w:b w:val="0"/>
              <w:color w:val="auto"/>
              <w:sz w:val="22"/>
              <w:szCs w:val="22"/>
            </w:rPr>
          </w:pPr>
          <w:r>
            <w:fldChar w:fldCharType="begin"/>
          </w:r>
          <w:r>
            <w:instrText xml:space="preserve"> TOC \h \u \z </w:instrText>
          </w:r>
          <w:r>
            <w:fldChar w:fldCharType="separate"/>
          </w:r>
          <w:hyperlink w:anchor="_Toc106628093" w:history="1">
            <w:r w:rsidR="00910EFE" w:rsidRPr="0076360A">
              <w:rPr>
                <w:rStyle w:val="Hyperlink"/>
              </w:rPr>
              <w:t>Introduction</w:t>
            </w:r>
            <w:r w:rsidR="00910EFE">
              <w:rPr>
                <w:webHidden/>
              </w:rPr>
              <w:tab/>
            </w:r>
            <w:r w:rsidR="00910EFE">
              <w:rPr>
                <w:webHidden/>
              </w:rPr>
              <w:fldChar w:fldCharType="begin"/>
            </w:r>
            <w:r w:rsidR="00910EFE">
              <w:rPr>
                <w:webHidden/>
              </w:rPr>
              <w:instrText xml:space="preserve"> PAGEREF _Toc106628093 \h </w:instrText>
            </w:r>
            <w:r w:rsidR="00910EFE">
              <w:rPr>
                <w:webHidden/>
              </w:rPr>
            </w:r>
            <w:r w:rsidR="00910EFE">
              <w:rPr>
                <w:webHidden/>
              </w:rPr>
              <w:fldChar w:fldCharType="separate"/>
            </w:r>
            <w:r w:rsidR="00910EFE">
              <w:rPr>
                <w:webHidden/>
              </w:rPr>
              <w:t>4</w:t>
            </w:r>
            <w:r w:rsidR="00910EFE">
              <w:rPr>
                <w:webHidden/>
              </w:rPr>
              <w:fldChar w:fldCharType="end"/>
            </w:r>
          </w:hyperlink>
        </w:p>
        <w:p w14:paraId="4FDCF099" w14:textId="7E64729E" w:rsidR="00910EFE" w:rsidRDefault="001D6EF2">
          <w:pPr>
            <w:pStyle w:val="TOC2"/>
            <w:rPr>
              <w:rFonts w:asciiTheme="minorHAnsi" w:eastAsiaTheme="minorEastAsia" w:hAnsiTheme="minorHAnsi" w:cstheme="minorBidi"/>
              <w:b w:val="0"/>
              <w:color w:val="auto"/>
              <w:sz w:val="22"/>
              <w:szCs w:val="22"/>
            </w:rPr>
          </w:pPr>
          <w:hyperlink w:anchor="_Toc106628094" w:history="1">
            <w:r w:rsidR="00910EFE" w:rsidRPr="0076360A">
              <w:rPr>
                <w:rStyle w:val="Hyperlink"/>
              </w:rPr>
              <w:t>How to use this document</w:t>
            </w:r>
            <w:r w:rsidR="00910EFE">
              <w:rPr>
                <w:webHidden/>
              </w:rPr>
              <w:tab/>
            </w:r>
            <w:r w:rsidR="00910EFE">
              <w:rPr>
                <w:webHidden/>
              </w:rPr>
              <w:fldChar w:fldCharType="begin"/>
            </w:r>
            <w:r w:rsidR="00910EFE">
              <w:rPr>
                <w:webHidden/>
              </w:rPr>
              <w:instrText xml:space="preserve"> PAGEREF _Toc106628094 \h </w:instrText>
            </w:r>
            <w:r w:rsidR="00910EFE">
              <w:rPr>
                <w:webHidden/>
              </w:rPr>
            </w:r>
            <w:r w:rsidR="00910EFE">
              <w:rPr>
                <w:webHidden/>
              </w:rPr>
              <w:fldChar w:fldCharType="separate"/>
            </w:r>
            <w:r w:rsidR="00910EFE">
              <w:rPr>
                <w:webHidden/>
              </w:rPr>
              <w:t>4</w:t>
            </w:r>
            <w:r w:rsidR="00910EFE">
              <w:rPr>
                <w:webHidden/>
              </w:rPr>
              <w:fldChar w:fldCharType="end"/>
            </w:r>
          </w:hyperlink>
        </w:p>
        <w:p w14:paraId="6A06F911" w14:textId="4D52FC2D" w:rsidR="00910EFE" w:rsidRDefault="001D6EF2">
          <w:pPr>
            <w:pStyle w:val="TOC1"/>
            <w:rPr>
              <w:rFonts w:asciiTheme="minorHAnsi" w:eastAsiaTheme="minorEastAsia" w:hAnsiTheme="minorHAnsi" w:cstheme="minorBidi"/>
              <w:b w:val="0"/>
              <w:color w:val="auto"/>
              <w:sz w:val="22"/>
              <w:szCs w:val="22"/>
            </w:rPr>
          </w:pPr>
          <w:hyperlink w:anchor="_Toc106628095" w:history="1">
            <w:r w:rsidR="00910EFE" w:rsidRPr="0076360A">
              <w:rPr>
                <w:rStyle w:val="Hyperlink"/>
              </w:rPr>
              <w:t>Benefits</w:t>
            </w:r>
            <w:r w:rsidR="00910EFE">
              <w:rPr>
                <w:webHidden/>
              </w:rPr>
              <w:tab/>
            </w:r>
            <w:r w:rsidR="00910EFE">
              <w:rPr>
                <w:webHidden/>
              </w:rPr>
              <w:fldChar w:fldCharType="begin"/>
            </w:r>
            <w:r w:rsidR="00910EFE">
              <w:rPr>
                <w:webHidden/>
              </w:rPr>
              <w:instrText xml:space="preserve"> PAGEREF _Toc106628095 \h </w:instrText>
            </w:r>
            <w:r w:rsidR="00910EFE">
              <w:rPr>
                <w:webHidden/>
              </w:rPr>
            </w:r>
            <w:r w:rsidR="00910EFE">
              <w:rPr>
                <w:webHidden/>
              </w:rPr>
              <w:fldChar w:fldCharType="separate"/>
            </w:r>
            <w:r w:rsidR="00910EFE">
              <w:rPr>
                <w:webHidden/>
              </w:rPr>
              <w:t>4</w:t>
            </w:r>
            <w:r w:rsidR="00910EFE">
              <w:rPr>
                <w:webHidden/>
              </w:rPr>
              <w:fldChar w:fldCharType="end"/>
            </w:r>
          </w:hyperlink>
        </w:p>
        <w:p w14:paraId="288DF910" w14:textId="4B8C2664" w:rsidR="00910EFE" w:rsidRDefault="001D6EF2">
          <w:pPr>
            <w:pStyle w:val="TOC2"/>
            <w:rPr>
              <w:rFonts w:asciiTheme="minorHAnsi" w:eastAsiaTheme="minorEastAsia" w:hAnsiTheme="minorHAnsi" w:cstheme="minorBidi"/>
              <w:b w:val="0"/>
              <w:color w:val="auto"/>
              <w:sz w:val="22"/>
              <w:szCs w:val="22"/>
            </w:rPr>
          </w:pPr>
          <w:hyperlink w:anchor="_Toc106628096" w:history="1">
            <w:r w:rsidR="00910EFE" w:rsidRPr="0076360A">
              <w:rPr>
                <w:rStyle w:val="Hyperlink"/>
              </w:rPr>
              <w:t>Agility</w:t>
            </w:r>
            <w:r w:rsidR="00910EFE">
              <w:rPr>
                <w:webHidden/>
              </w:rPr>
              <w:tab/>
            </w:r>
            <w:r w:rsidR="00910EFE">
              <w:rPr>
                <w:webHidden/>
              </w:rPr>
              <w:fldChar w:fldCharType="begin"/>
            </w:r>
            <w:r w:rsidR="00910EFE">
              <w:rPr>
                <w:webHidden/>
              </w:rPr>
              <w:instrText xml:space="preserve"> PAGEREF _Toc106628096 \h </w:instrText>
            </w:r>
            <w:r w:rsidR="00910EFE">
              <w:rPr>
                <w:webHidden/>
              </w:rPr>
            </w:r>
            <w:r w:rsidR="00910EFE">
              <w:rPr>
                <w:webHidden/>
              </w:rPr>
              <w:fldChar w:fldCharType="separate"/>
            </w:r>
            <w:r w:rsidR="00910EFE">
              <w:rPr>
                <w:webHidden/>
              </w:rPr>
              <w:t>4</w:t>
            </w:r>
            <w:r w:rsidR="00910EFE">
              <w:rPr>
                <w:webHidden/>
              </w:rPr>
              <w:fldChar w:fldCharType="end"/>
            </w:r>
          </w:hyperlink>
        </w:p>
        <w:p w14:paraId="6998A643" w14:textId="52D8510C" w:rsidR="00910EFE" w:rsidRDefault="001D6EF2">
          <w:pPr>
            <w:pStyle w:val="TOC2"/>
            <w:rPr>
              <w:rFonts w:asciiTheme="minorHAnsi" w:eastAsiaTheme="minorEastAsia" w:hAnsiTheme="minorHAnsi" w:cstheme="minorBidi"/>
              <w:b w:val="0"/>
              <w:color w:val="auto"/>
              <w:sz w:val="22"/>
              <w:szCs w:val="22"/>
            </w:rPr>
          </w:pPr>
          <w:hyperlink w:anchor="_Toc106628097" w:history="1">
            <w:r w:rsidR="00910EFE" w:rsidRPr="0076360A">
              <w:rPr>
                <w:rStyle w:val="Hyperlink"/>
              </w:rPr>
              <w:t>Financial</w:t>
            </w:r>
            <w:r w:rsidR="00910EFE">
              <w:rPr>
                <w:webHidden/>
              </w:rPr>
              <w:tab/>
            </w:r>
            <w:r w:rsidR="00910EFE">
              <w:rPr>
                <w:webHidden/>
              </w:rPr>
              <w:fldChar w:fldCharType="begin"/>
            </w:r>
            <w:r w:rsidR="00910EFE">
              <w:rPr>
                <w:webHidden/>
              </w:rPr>
              <w:instrText xml:space="preserve"> PAGEREF _Toc106628097 \h </w:instrText>
            </w:r>
            <w:r w:rsidR="00910EFE">
              <w:rPr>
                <w:webHidden/>
              </w:rPr>
            </w:r>
            <w:r w:rsidR="00910EFE">
              <w:rPr>
                <w:webHidden/>
              </w:rPr>
              <w:fldChar w:fldCharType="separate"/>
            </w:r>
            <w:r w:rsidR="00910EFE">
              <w:rPr>
                <w:webHidden/>
              </w:rPr>
              <w:t>5</w:t>
            </w:r>
            <w:r w:rsidR="00910EFE">
              <w:rPr>
                <w:webHidden/>
              </w:rPr>
              <w:fldChar w:fldCharType="end"/>
            </w:r>
          </w:hyperlink>
        </w:p>
        <w:p w14:paraId="202F552C" w14:textId="0F0EFAB9" w:rsidR="00910EFE" w:rsidRDefault="001D6EF2">
          <w:pPr>
            <w:pStyle w:val="TOC2"/>
            <w:rPr>
              <w:rFonts w:asciiTheme="minorHAnsi" w:eastAsiaTheme="minorEastAsia" w:hAnsiTheme="minorHAnsi" w:cstheme="minorBidi"/>
              <w:b w:val="0"/>
              <w:color w:val="auto"/>
              <w:sz w:val="22"/>
              <w:szCs w:val="22"/>
            </w:rPr>
          </w:pPr>
          <w:hyperlink w:anchor="_Toc106628098" w:history="1">
            <w:r w:rsidR="00910EFE" w:rsidRPr="0076360A">
              <w:rPr>
                <w:rStyle w:val="Hyperlink"/>
              </w:rPr>
              <w:t>Operational</w:t>
            </w:r>
            <w:r w:rsidR="00910EFE">
              <w:rPr>
                <w:webHidden/>
              </w:rPr>
              <w:tab/>
            </w:r>
            <w:r w:rsidR="00910EFE">
              <w:rPr>
                <w:webHidden/>
              </w:rPr>
              <w:fldChar w:fldCharType="begin"/>
            </w:r>
            <w:r w:rsidR="00910EFE">
              <w:rPr>
                <w:webHidden/>
              </w:rPr>
              <w:instrText xml:space="preserve"> PAGEREF _Toc106628098 \h </w:instrText>
            </w:r>
            <w:r w:rsidR="00910EFE">
              <w:rPr>
                <w:webHidden/>
              </w:rPr>
            </w:r>
            <w:r w:rsidR="00910EFE">
              <w:rPr>
                <w:webHidden/>
              </w:rPr>
              <w:fldChar w:fldCharType="separate"/>
            </w:r>
            <w:r w:rsidR="00910EFE">
              <w:rPr>
                <w:webHidden/>
              </w:rPr>
              <w:t>5</w:t>
            </w:r>
            <w:r w:rsidR="00910EFE">
              <w:rPr>
                <w:webHidden/>
              </w:rPr>
              <w:fldChar w:fldCharType="end"/>
            </w:r>
          </w:hyperlink>
        </w:p>
        <w:p w14:paraId="52E343FD" w14:textId="5E9C3B0D" w:rsidR="00910EFE" w:rsidRDefault="001D6EF2">
          <w:pPr>
            <w:pStyle w:val="TOC2"/>
            <w:rPr>
              <w:rFonts w:asciiTheme="minorHAnsi" w:eastAsiaTheme="minorEastAsia" w:hAnsiTheme="minorHAnsi" w:cstheme="minorBidi"/>
              <w:b w:val="0"/>
              <w:color w:val="auto"/>
              <w:sz w:val="22"/>
              <w:szCs w:val="22"/>
            </w:rPr>
          </w:pPr>
          <w:hyperlink w:anchor="_Toc106628099" w:history="1">
            <w:r w:rsidR="00910EFE" w:rsidRPr="0076360A">
              <w:rPr>
                <w:rStyle w:val="Hyperlink"/>
              </w:rPr>
              <w:t>Security</w:t>
            </w:r>
            <w:r w:rsidR="00910EFE">
              <w:rPr>
                <w:webHidden/>
              </w:rPr>
              <w:tab/>
            </w:r>
            <w:r w:rsidR="00910EFE">
              <w:rPr>
                <w:webHidden/>
              </w:rPr>
              <w:fldChar w:fldCharType="begin"/>
            </w:r>
            <w:r w:rsidR="00910EFE">
              <w:rPr>
                <w:webHidden/>
              </w:rPr>
              <w:instrText xml:space="preserve"> PAGEREF _Toc106628099 \h </w:instrText>
            </w:r>
            <w:r w:rsidR="00910EFE">
              <w:rPr>
                <w:webHidden/>
              </w:rPr>
            </w:r>
            <w:r w:rsidR="00910EFE">
              <w:rPr>
                <w:webHidden/>
              </w:rPr>
              <w:fldChar w:fldCharType="separate"/>
            </w:r>
            <w:r w:rsidR="00910EFE">
              <w:rPr>
                <w:webHidden/>
              </w:rPr>
              <w:t>6</w:t>
            </w:r>
            <w:r w:rsidR="00910EFE">
              <w:rPr>
                <w:webHidden/>
              </w:rPr>
              <w:fldChar w:fldCharType="end"/>
            </w:r>
          </w:hyperlink>
        </w:p>
        <w:p w14:paraId="73B413EE" w14:textId="1A07ABE6" w:rsidR="00910EFE" w:rsidRDefault="001D6EF2">
          <w:pPr>
            <w:pStyle w:val="TOC2"/>
            <w:rPr>
              <w:rFonts w:asciiTheme="minorHAnsi" w:eastAsiaTheme="minorEastAsia" w:hAnsiTheme="minorHAnsi" w:cstheme="minorBidi"/>
              <w:b w:val="0"/>
              <w:color w:val="auto"/>
              <w:sz w:val="22"/>
              <w:szCs w:val="22"/>
            </w:rPr>
          </w:pPr>
          <w:hyperlink w:anchor="_Toc106628100" w:history="1">
            <w:r w:rsidR="00910EFE" w:rsidRPr="0076360A">
              <w:rPr>
                <w:rStyle w:val="Hyperlink"/>
              </w:rPr>
              <w:t>Environmental</w:t>
            </w:r>
            <w:r w:rsidR="00910EFE">
              <w:rPr>
                <w:webHidden/>
              </w:rPr>
              <w:tab/>
            </w:r>
            <w:r w:rsidR="00910EFE">
              <w:rPr>
                <w:webHidden/>
              </w:rPr>
              <w:fldChar w:fldCharType="begin"/>
            </w:r>
            <w:r w:rsidR="00910EFE">
              <w:rPr>
                <w:webHidden/>
              </w:rPr>
              <w:instrText xml:space="preserve"> PAGEREF _Toc106628100 \h </w:instrText>
            </w:r>
            <w:r w:rsidR="00910EFE">
              <w:rPr>
                <w:webHidden/>
              </w:rPr>
            </w:r>
            <w:r w:rsidR="00910EFE">
              <w:rPr>
                <w:webHidden/>
              </w:rPr>
              <w:fldChar w:fldCharType="separate"/>
            </w:r>
            <w:r w:rsidR="00910EFE">
              <w:rPr>
                <w:webHidden/>
              </w:rPr>
              <w:t>7</w:t>
            </w:r>
            <w:r w:rsidR="00910EFE">
              <w:rPr>
                <w:webHidden/>
              </w:rPr>
              <w:fldChar w:fldCharType="end"/>
            </w:r>
          </w:hyperlink>
        </w:p>
        <w:p w14:paraId="5E6D7530" w14:textId="5553D751" w:rsidR="00910EFE" w:rsidRDefault="001D6EF2">
          <w:pPr>
            <w:pStyle w:val="TOC2"/>
            <w:rPr>
              <w:rFonts w:asciiTheme="minorHAnsi" w:eastAsiaTheme="minorEastAsia" w:hAnsiTheme="minorHAnsi" w:cstheme="minorBidi"/>
              <w:b w:val="0"/>
              <w:color w:val="auto"/>
              <w:sz w:val="22"/>
              <w:szCs w:val="22"/>
            </w:rPr>
          </w:pPr>
          <w:hyperlink w:anchor="_Toc106628101" w:history="1">
            <w:r w:rsidR="00910EFE" w:rsidRPr="0076360A">
              <w:rPr>
                <w:rStyle w:val="Hyperlink"/>
              </w:rPr>
              <w:t>People</w:t>
            </w:r>
            <w:r w:rsidR="00910EFE">
              <w:rPr>
                <w:webHidden/>
              </w:rPr>
              <w:tab/>
            </w:r>
            <w:r w:rsidR="00910EFE">
              <w:rPr>
                <w:webHidden/>
              </w:rPr>
              <w:fldChar w:fldCharType="begin"/>
            </w:r>
            <w:r w:rsidR="00910EFE">
              <w:rPr>
                <w:webHidden/>
              </w:rPr>
              <w:instrText xml:space="preserve"> PAGEREF _Toc106628101 \h </w:instrText>
            </w:r>
            <w:r w:rsidR="00910EFE">
              <w:rPr>
                <w:webHidden/>
              </w:rPr>
            </w:r>
            <w:r w:rsidR="00910EFE">
              <w:rPr>
                <w:webHidden/>
              </w:rPr>
              <w:fldChar w:fldCharType="separate"/>
            </w:r>
            <w:r w:rsidR="00910EFE">
              <w:rPr>
                <w:webHidden/>
              </w:rPr>
              <w:t>7</w:t>
            </w:r>
            <w:r w:rsidR="00910EFE">
              <w:rPr>
                <w:webHidden/>
              </w:rPr>
              <w:fldChar w:fldCharType="end"/>
            </w:r>
          </w:hyperlink>
        </w:p>
        <w:p w14:paraId="2835A9A6" w14:textId="2402A2D9" w:rsidR="00910EFE" w:rsidRDefault="001D6EF2">
          <w:pPr>
            <w:pStyle w:val="TOC1"/>
            <w:rPr>
              <w:rFonts w:asciiTheme="minorHAnsi" w:eastAsiaTheme="minorEastAsia" w:hAnsiTheme="minorHAnsi" w:cstheme="minorBidi"/>
              <w:b w:val="0"/>
              <w:color w:val="auto"/>
              <w:sz w:val="22"/>
              <w:szCs w:val="22"/>
            </w:rPr>
          </w:pPr>
          <w:hyperlink w:anchor="_Toc106628102" w:history="1">
            <w:r w:rsidR="00910EFE" w:rsidRPr="0076360A">
              <w:rPr>
                <w:rStyle w:val="Hyperlink"/>
              </w:rPr>
              <w:t>Risks</w:t>
            </w:r>
            <w:r w:rsidR="00910EFE">
              <w:rPr>
                <w:webHidden/>
              </w:rPr>
              <w:tab/>
            </w:r>
            <w:r w:rsidR="00910EFE">
              <w:rPr>
                <w:webHidden/>
              </w:rPr>
              <w:fldChar w:fldCharType="begin"/>
            </w:r>
            <w:r w:rsidR="00910EFE">
              <w:rPr>
                <w:webHidden/>
              </w:rPr>
              <w:instrText xml:space="preserve"> PAGEREF _Toc106628102 \h </w:instrText>
            </w:r>
            <w:r w:rsidR="00910EFE">
              <w:rPr>
                <w:webHidden/>
              </w:rPr>
            </w:r>
            <w:r w:rsidR="00910EFE">
              <w:rPr>
                <w:webHidden/>
              </w:rPr>
              <w:fldChar w:fldCharType="separate"/>
            </w:r>
            <w:r w:rsidR="00910EFE">
              <w:rPr>
                <w:webHidden/>
              </w:rPr>
              <w:t>7</w:t>
            </w:r>
            <w:r w:rsidR="00910EFE">
              <w:rPr>
                <w:webHidden/>
              </w:rPr>
              <w:fldChar w:fldCharType="end"/>
            </w:r>
          </w:hyperlink>
        </w:p>
        <w:p w14:paraId="2DBA1EC5" w14:textId="513AC167" w:rsidR="00910EFE" w:rsidRDefault="001D6EF2">
          <w:pPr>
            <w:pStyle w:val="TOC2"/>
            <w:rPr>
              <w:rFonts w:asciiTheme="minorHAnsi" w:eastAsiaTheme="minorEastAsia" w:hAnsiTheme="minorHAnsi" w:cstheme="minorBidi"/>
              <w:b w:val="0"/>
              <w:color w:val="auto"/>
              <w:sz w:val="22"/>
              <w:szCs w:val="22"/>
            </w:rPr>
          </w:pPr>
          <w:hyperlink w:anchor="_Toc106628103" w:history="1">
            <w:r w:rsidR="00910EFE" w:rsidRPr="0076360A">
              <w:rPr>
                <w:rStyle w:val="Hyperlink"/>
              </w:rPr>
              <w:t>Risks of moving to the cloud</w:t>
            </w:r>
            <w:r w:rsidR="00910EFE">
              <w:rPr>
                <w:webHidden/>
              </w:rPr>
              <w:tab/>
            </w:r>
            <w:r w:rsidR="00910EFE">
              <w:rPr>
                <w:webHidden/>
              </w:rPr>
              <w:fldChar w:fldCharType="begin"/>
            </w:r>
            <w:r w:rsidR="00910EFE">
              <w:rPr>
                <w:webHidden/>
              </w:rPr>
              <w:instrText xml:space="preserve"> PAGEREF _Toc106628103 \h </w:instrText>
            </w:r>
            <w:r w:rsidR="00910EFE">
              <w:rPr>
                <w:webHidden/>
              </w:rPr>
            </w:r>
            <w:r w:rsidR="00910EFE">
              <w:rPr>
                <w:webHidden/>
              </w:rPr>
              <w:fldChar w:fldCharType="separate"/>
            </w:r>
            <w:r w:rsidR="00910EFE">
              <w:rPr>
                <w:webHidden/>
              </w:rPr>
              <w:t>7</w:t>
            </w:r>
            <w:r w:rsidR="00910EFE">
              <w:rPr>
                <w:webHidden/>
              </w:rPr>
              <w:fldChar w:fldCharType="end"/>
            </w:r>
          </w:hyperlink>
        </w:p>
        <w:p w14:paraId="583B40C2" w14:textId="1A67101D" w:rsidR="00910EFE" w:rsidRDefault="001D6EF2">
          <w:pPr>
            <w:pStyle w:val="TOC2"/>
            <w:rPr>
              <w:rFonts w:asciiTheme="minorHAnsi" w:eastAsiaTheme="minorEastAsia" w:hAnsiTheme="minorHAnsi" w:cstheme="minorBidi"/>
              <w:b w:val="0"/>
              <w:color w:val="auto"/>
              <w:sz w:val="22"/>
              <w:szCs w:val="22"/>
            </w:rPr>
          </w:pPr>
          <w:hyperlink w:anchor="_Toc106628104" w:history="1">
            <w:r w:rsidR="00910EFE" w:rsidRPr="0076360A">
              <w:rPr>
                <w:rStyle w:val="Hyperlink"/>
              </w:rPr>
              <w:t>Risks of not moving to the cloud</w:t>
            </w:r>
            <w:r w:rsidR="00910EFE">
              <w:rPr>
                <w:webHidden/>
              </w:rPr>
              <w:tab/>
            </w:r>
            <w:r w:rsidR="00910EFE">
              <w:rPr>
                <w:webHidden/>
              </w:rPr>
              <w:fldChar w:fldCharType="begin"/>
            </w:r>
            <w:r w:rsidR="00910EFE">
              <w:rPr>
                <w:webHidden/>
              </w:rPr>
              <w:instrText xml:space="preserve"> PAGEREF _Toc106628104 \h </w:instrText>
            </w:r>
            <w:r w:rsidR="00910EFE">
              <w:rPr>
                <w:webHidden/>
              </w:rPr>
            </w:r>
            <w:r w:rsidR="00910EFE">
              <w:rPr>
                <w:webHidden/>
              </w:rPr>
              <w:fldChar w:fldCharType="separate"/>
            </w:r>
            <w:r w:rsidR="00910EFE">
              <w:rPr>
                <w:webHidden/>
              </w:rPr>
              <w:t>8</w:t>
            </w:r>
            <w:r w:rsidR="00910EFE">
              <w:rPr>
                <w:webHidden/>
              </w:rPr>
              <w:fldChar w:fldCharType="end"/>
            </w:r>
          </w:hyperlink>
        </w:p>
        <w:p w14:paraId="282D83CB" w14:textId="74304078" w:rsidR="00F05B33" w:rsidRDefault="003B72E3">
          <w:r>
            <w:fldChar w:fldCharType="end"/>
          </w:r>
        </w:p>
      </w:sdtContent>
    </w:sdt>
    <w:p w14:paraId="7525C79A" w14:textId="77777777" w:rsidR="00F05B33" w:rsidRDefault="003B72E3">
      <w:pPr>
        <w:spacing w:after="0"/>
      </w:pPr>
      <w:r>
        <w:br w:type="page"/>
      </w:r>
    </w:p>
    <w:p w14:paraId="45675C60" w14:textId="190E31EB" w:rsidR="00F05B33" w:rsidRDefault="000B36E0">
      <w:pPr>
        <w:pStyle w:val="Heading1"/>
      </w:pPr>
      <w:bookmarkStart w:id="0" w:name="_Toc106628093"/>
      <w:r>
        <w:t>Introduction</w:t>
      </w:r>
      <w:bookmarkEnd w:id="0"/>
    </w:p>
    <w:p w14:paraId="294FAB6A" w14:textId="783D3290" w:rsidR="00F05B33" w:rsidRDefault="00452DE7">
      <w:pPr>
        <w:pBdr>
          <w:top w:val="nil"/>
          <w:left w:val="nil"/>
          <w:bottom w:val="nil"/>
          <w:right w:val="nil"/>
          <w:between w:val="nil"/>
        </w:pBdr>
        <w:spacing w:after="180"/>
        <w:rPr>
          <w:b/>
          <w:color w:val="425563"/>
          <w:sz w:val="30"/>
          <w:szCs w:val="30"/>
        </w:rPr>
      </w:pPr>
      <w:r w:rsidRPr="00452DE7">
        <w:rPr>
          <w:b/>
          <w:color w:val="425563"/>
          <w:sz w:val="30"/>
          <w:szCs w:val="30"/>
        </w:rPr>
        <w:t>This document contains a collection of points which describe the benefits and risks of cloud adoption. This document is intended as an aid to the person writing a business case for migration of systems to a cloud platform.</w:t>
      </w:r>
      <w:r w:rsidR="005A24F2">
        <w:rPr>
          <w:b/>
          <w:color w:val="425563"/>
          <w:sz w:val="30"/>
          <w:szCs w:val="30"/>
        </w:rPr>
        <w:t xml:space="preserve"> </w:t>
      </w:r>
      <w:r w:rsidRPr="00452DE7">
        <w:rPr>
          <w:b/>
          <w:color w:val="425563"/>
          <w:sz w:val="30"/>
          <w:szCs w:val="30"/>
        </w:rPr>
        <w:t>The purpose is to provide a helpful starting point for the narrative elements of a typical business case:  Benefits, Delivery Risks,</w:t>
      </w:r>
      <w:r w:rsidR="00C860CF">
        <w:rPr>
          <w:b/>
          <w:color w:val="425563"/>
          <w:sz w:val="30"/>
          <w:szCs w:val="30"/>
        </w:rPr>
        <w:t xml:space="preserve"> and</w:t>
      </w:r>
      <w:r w:rsidRPr="00452DE7">
        <w:rPr>
          <w:b/>
          <w:color w:val="425563"/>
          <w:sz w:val="30"/>
          <w:szCs w:val="30"/>
        </w:rPr>
        <w:t xml:space="preserve"> Risks of not </w:t>
      </w:r>
      <w:r w:rsidR="005A24F2" w:rsidRPr="00452DE7">
        <w:rPr>
          <w:b/>
          <w:color w:val="425563"/>
          <w:sz w:val="30"/>
          <w:szCs w:val="30"/>
        </w:rPr>
        <w:t>acting</w:t>
      </w:r>
      <w:r w:rsidRPr="00452DE7">
        <w:rPr>
          <w:b/>
          <w:color w:val="425563"/>
          <w:sz w:val="30"/>
          <w:szCs w:val="30"/>
        </w:rPr>
        <w:t>.</w:t>
      </w:r>
    </w:p>
    <w:p w14:paraId="706FC17E" w14:textId="7BEFF5BC" w:rsidR="00F05B33" w:rsidRDefault="00452DE7">
      <w:pPr>
        <w:pStyle w:val="Heading2"/>
      </w:pPr>
      <w:bookmarkStart w:id="1" w:name="_Toc106628094"/>
      <w:r>
        <w:t>How to use this document</w:t>
      </w:r>
      <w:bookmarkEnd w:id="1"/>
    </w:p>
    <w:p w14:paraId="0A5F03A0" w14:textId="4F0F00F2" w:rsidR="00F05B33" w:rsidRDefault="00452DE7">
      <w:r w:rsidRPr="00452DE7">
        <w:t xml:space="preserve">Every organisation’s context and drivers are </w:t>
      </w:r>
      <w:r w:rsidR="00DA2A50" w:rsidRPr="00452DE7">
        <w:t>unique;</w:t>
      </w:r>
      <w:r w:rsidRPr="00452DE7">
        <w:t xml:space="preserve"> </w:t>
      </w:r>
      <w:r w:rsidR="004626F9" w:rsidRPr="00452DE7">
        <w:t>therefore,</w:t>
      </w:r>
      <w:r w:rsidRPr="00452DE7">
        <w:t xml:space="preserve"> each point may be </w:t>
      </w:r>
      <w:proofErr w:type="gramStart"/>
      <w:r w:rsidRPr="00452DE7">
        <w:t>more or less relevant</w:t>
      </w:r>
      <w:proofErr w:type="gramEnd"/>
      <w:r w:rsidRPr="00452DE7">
        <w:t xml:space="preserve"> to the context of a given organisation.   To make the overall business case document more compelling, it is strongly advisable to also include local context and data points and not feel limited by the suggestions made in this document.</w:t>
      </w:r>
    </w:p>
    <w:p w14:paraId="0A078EEE" w14:textId="5F02F775" w:rsidR="00452DE7" w:rsidRDefault="00452DE7"/>
    <w:p w14:paraId="0FDC29C9" w14:textId="0830FE55" w:rsidR="00452DE7" w:rsidRDefault="00452DE7" w:rsidP="00452DE7">
      <w:pPr>
        <w:pStyle w:val="Heading1"/>
      </w:pPr>
      <w:bookmarkStart w:id="2" w:name="_Toc106628095"/>
      <w:r>
        <w:t>Benefits</w:t>
      </w:r>
      <w:bookmarkEnd w:id="2"/>
    </w:p>
    <w:p w14:paraId="5A99A93E" w14:textId="13BE51FE" w:rsidR="00452DE7" w:rsidRDefault="00452DE7" w:rsidP="00452DE7">
      <w:pPr>
        <w:pStyle w:val="Heading2"/>
      </w:pPr>
      <w:bookmarkStart w:id="3" w:name="_Toc106628096"/>
      <w:r>
        <w:t>Agility</w:t>
      </w:r>
      <w:bookmarkEnd w:id="3"/>
    </w:p>
    <w:p w14:paraId="465D6BA1" w14:textId="77777777" w:rsidR="00966FEA" w:rsidRPr="008629C2" w:rsidRDefault="00966FEA" w:rsidP="008629C2">
      <w:pPr>
        <w:numPr>
          <w:ilvl w:val="0"/>
          <w:numId w:val="2"/>
        </w:numPr>
        <w:pBdr>
          <w:top w:val="nil"/>
          <w:left w:val="nil"/>
          <w:bottom w:val="nil"/>
          <w:right w:val="nil"/>
          <w:between w:val="nil"/>
        </w:pBdr>
        <w:rPr>
          <w:color w:val="425563"/>
        </w:rPr>
      </w:pPr>
      <w:r w:rsidRPr="008629C2">
        <w:rPr>
          <w:color w:val="425563"/>
        </w:rPr>
        <w:t>Speed and Agility – Cloud adoption supports businesses to focus resources at the application level, ensuring services are developed in an agile way, adapting approaches as new understanding emerges</w:t>
      </w:r>
    </w:p>
    <w:p w14:paraId="08F6D3B6" w14:textId="3CAEEA68" w:rsidR="00966FEA" w:rsidRPr="00CB3443" w:rsidRDefault="00966FEA" w:rsidP="00CB3443">
      <w:pPr>
        <w:numPr>
          <w:ilvl w:val="0"/>
          <w:numId w:val="2"/>
        </w:numPr>
        <w:pBdr>
          <w:top w:val="nil"/>
          <w:left w:val="nil"/>
          <w:bottom w:val="nil"/>
          <w:right w:val="nil"/>
          <w:between w:val="nil"/>
        </w:pBdr>
        <w:rPr>
          <w:color w:val="425563"/>
        </w:rPr>
      </w:pPr>
      <w:r w:rsidRPr="008629C2">
        <w:rPr>
          <w:color w:val="425563"/>
        </w:rPr>
        <w:t xml:space="preserve">Capabilities to accelerate innovation. </w:t>
      </w:r>
      <w:r w:rsidR="0054263C">
        <w:rPr>
          <w:color w:val="425563"/>
        </w:rPr>
        <w:t>With cloud services, it is e</w:t>
      </w:r>
      <w:r w:rsidRPr="008629C2">
        <w:rPr>
          <w:color w:val="425563"/>
        </w:rPr>
        <w:t xml:space="preserve">asy to experiment with technology options without making long-term commitments. On-demand access to services supports rapid prototyping of solutions without the delay of a procurement cycle. </w:t>
      </w:r>
      <w:r w:rsidR="00CB3443">
        <w:rPr>
          <w:color w:val="425563"/>
        </w:rPr>
        <w:t>Unwanted c</w:t>
      </w:r>
      <w:r w:rsidRPr="00CB3443">
        <w:rPr>
          <w:color w:val="425563"/>
        </w:rPr>
        <w:t xml:space="preserve">loud resources can be </w:t>
      </w:r>
      <w:r w:rsidR="00CB3443" w:rsidRPr="00CB3443">
        <w:rPr>
          <w:color w:val="425563"/>
        </w:rPr>
        <w:t xml:space="preserve">turned off </w:t>
      </w:r>
      <w:r w:rsidRPr="00CB3443">
        <w:rPr>
          <w:color w:val="425563"/>
        </w:rPr>
        <w:t xml:space="preserve">when the prototype is finished.   </w:t>
      </w:r>
    </w:p>
    <w:p w14:paraId="75A99B08" w14:textId="79AE3C36" w:rsidR="00966FEA" w:rsidRPr="00270B8E" w:rsidRDefault="008629C2" w:rsidP="00270B8E">
      <w:pPr>
        <w:numPr>
          <w:ilvl w:val="0"/>
          <w:numId w:val="2"/>
        </w:numPr>
        <w:pBdr>
          <w:top w:val="nil"/>
          <w:left w:val="nil"/>
          <w:bottom w:val="nil"/>
          <w:right w:val="nil"/>
          <w:between w:val="nil"/>
        </w:pBdr>
        <w:rPr>
          <w:color w:val="425563"/>
        </w:rPr>
      </w:pPr>
      <w:r w:rsidRPr="008629C2">
        <w:rPr>
          <w:color w:val="425563"/>
        </w:rPr>
        <w:t xml:space="preserve">Cloud Big Data and Analytics Capabilities - The cloud’s scalability also offers healthcare providers an ideal platform for storing and analysing big data. This helps to take advantage of the full potential of advanced technologies such as </w:t>
      </w:r>
      <w:r w:rsidR="00CB3443" w:rsidRPr="00CB3443">
        <w:rPr>
          <w:color w:val="425563"/>
        </w:rPr>
        <w:t xml:space="preserve">available on demand – </w:t>
      </w:r>
      <w:r w:rsidR="00CB3443">
        <w:rPr>
          <w:color w:val="425563"/>
        </w:rPr>
        <w:t xml:space="preserve">advanced </w:t>
      </w:r>
      <w:r w:rsidR="00CB3443" w:rsidRPr="00CB3443">
        <w:rPr>
          <w:color w:val="425563"/>
        </w:rPr>
        <w:t>databases, analytics, AI/ML, IoT, image processing, maps, and much more.</w:t>
      </w:r>
      <w:r w:rsidR="00270B8E">
        <w:rPr>
          <w:color w:val="425563"/>
        </w:rPr>
        <w:t xml:space="preserve"> </w:t>
      </w:r>
      <w:r w:rsidRPr="00270B8E">
        <w:rPr>
          <w:color w:val="425563"/>
        </w:rPr>
        <w:t>By analysing data, healthcare providers can gain new insights into patient needs and allow medical research and treatment advances.</w:t>
      </w:r>
    </w:p>
    <w:p w14:paraId="6165B3D3" w14:textId="5B3340C6" w:rsidR="004316AF" w:rsidRDefault="004316AF" w:rsidP="008629C2">
      <w:pPr>
        <w:numPr>
          <w:ilvl w:val="0"/>
          <w:numId w:val="2"/>
        </w:numPr>
        <w:pBdr>
          <w:top w:val="nil"/>
          <w:left w:val="nil"/>
          <w:bottom w:val="nil"/>
          <w:right w:val="nil"/>
          <w:between w:val="nil"/>
        </w:pBdr>
        <w:rPr>
          <w:color w:val="425563"/>
        </w:rPr>
      </w:pPr>
      <w:r w:rsidRPr="004316AF">
        <w:rPr>
          <w:color w:val="425563"/>
        </w:rPr>
        <w:t xml:space="preserve">Access to Innovative Solutions and Applications – More and more innovative 3rd party applications and solutions are being </w:t>
      </w:r>
      <w:r w:rsidR="00836DD5">
        <w:rPr>
          <w:color w:val="425563"/>
        </w:rPr>
        <w:t xml:space="preserve">developed </w:t>
      </w:r>
      <w:r w:rsidRPr="004316AF">
        <w:rPr>
          <w:color w:val="425563"/>
        </w:rPr>
        <w:t>with a ‘cloud first’ approach, where innovative solutions are ready to be deployed on the cloud and integrated into your IT ecosystem at the click of a button. This could open the door for the latest technology in diagnosis, workforce management and analytical capabilities for the NHS and its Trust around the UK, without the need of having to consider large up front capital expenditure on physical infrastructure and associated integration costs.</w:t>
      </w:r>
    </w:p>
    <w:p w14:paraId="58B0FDFE" w14:textId="5848E58A" w:rsidR="004316AF" w:rsidRPr="008629C2" w:rsidRDefault="004316AF" w:rsidP="008629C2">
      <w:pPr>
        <w:numPr>
          <w:ilvl w:val="0"/>
          <w:numId w:val="2"/>
        </w:numPr>
        <w:pBdr>
          <w:top w:val="nil"/>
          <w:left w:val="nil"/>
          <w:bottom w:val="nil"/>
          <w:right w:val="nil"/>
          <w:between w:val="nil"/>
        </w:pBdr>
        <w:rPr>
          <w:color w:val="425563"/>
        </w:rPr>
      </w:pPr>
      <w:r w:rsidRPr="004316AF">
        <w:rPr>
          <w:color w:val="425563"/>
        </w:rPr>
        <w:t>Future-proof / ever-green solutions fit for continuous evolution. Physical infrastructure requires regular maintenance and refresh as it ages. Cloud providers bear the burden of IT hardware, software and datacentre maintenance and refresh, allowing the IT teams to focus on value-add business activities.</w:t>
      </w:r>
    </w:p>
    <w:p w14:paraId="5DA08B17" w14:textId="77777777" w:rsidR="00966FEA" w:rsidRPr="00966FEA" w:rsidRDefault="00966FEA" w:rsidP="00966FEA"/>
    <w:p w14:paraId="2E19737E" w14:textId="3E4F90B3" w:rsidR="00452DE7" w:rsidRDefault="00452DE7" w:rsidP="00452DE7">
      <w:pPr>
        <w:pStyle w:val="Heading2"/>
      </w:pPr>
      <w:bookmarkStart w:id="4" w:name="_Toc106628097"/>
      <w:r>
        <w:t>Financial</w:t>
      </w:r>
      <w:bookmarkEnd w:id="4"/>
    </w:p>
    <w:p w14:paraId="6D3CD169" w14:textId="77777777" w:rsidR="00966FEA" w:rsidRPr="00966FEA" w:rsidRDefault="00966FEA" w:rsidP="00966FEA">
      <w:pPr>
        <w:numPr>
          <w:ilvl w:val="0"/>
          <w:numId w:val="2"/>
        </w:numPr>
        <w:pBdr>
          <w:top w:val="nil"/>
          <w:left w:val="nil"/>
          <w:bottom w:val="nil"/>
          <w:right w:val="nil"/>
          <w:between w:val="nil"/>
        </w:pBdr>
        <w:rPr>
          <w:color w:val="425563"/>
        </w:rPr>
      </w:pPr>
      <w:r w:rsidRPr="00966FEA">
        <w:rPr>
          <w:color w:val="425563"/>
        </w:rPr>
        <w:t>Significant reduction in cost – The NHS can avoid capital expenditures to maintain/replace legacy infrastructure equipment by migrating IT platforms and services to the cloud. The Cloud will allow your IT infrastructure to shift to an Operational Expense, which can be more predictable and allow for the NHS to benefit from economies of scale.</w:t>
      </w:r>
    </w:p>
    <w:p w14:paraId="04BF57F4" w14:textId="54337F35" w:rsidR="00966FEA" w:rsidRPr="000608A0" w:rsidRDefault="00966FEA" w:rsidP="000608A0">
      <w:pPr>
        <w:numPr>
          <w:ilvl w:val="0"/>
          <w:numId w:val="2"/>
        </w:numPr>
        <w:pBdr>
          <w:top w:val="nil"/>
          <w:left w:val="nil"/>
          <w:bottom w:val="nil"/>
          <w:right w:val="nil"/>
          <w:between w:val="nil"/>
        </w:pBdr>
        <w:rPr>
          <w:color w:val="425563"/>
        </w:rPr>
      </w:pPr>
      <w:r w:rsidRPr="000608A0">
        <w:rPr>
          <w:color w:val="425563"/>
        </w:rPr>
        <w:t>Pay-as-you-go pricing – cloud services are purchased at a service-by-service level on a “usage over time” basis. This enables considerable flexibility and opportunities to reduce waste. Contrast with physical hardware purchases based on a capacity forecast plan years in advance. Usually, engineers will over-provision capacity to mitigate service risks. In the cloud, capacity is available on demand, so engineers can purchase what they need when they need it – not just “in case”</w:t>
      </w:r>
      <w:r w:rsidR="009C4C24">
        <w:rPr>
          <w:color w:val="425563"/>
        </w:rPr>
        <w:t>.</w:t>
      </w:r>
      <w:r w:rsidRPr="000608A0">
        <w:rPr>
          <w:color w:val="425563"/>
        </w:rPr>
        <w:t xml:space="preserve">   </w:t>
      </w:r>
      <w:r w:rsidR="004626F9" w:rsidRPr="000608A0">
        <w:rPr>
          <w:color w:val="425563"/>
        </w:rPr>
        <w:t>Furthermore,</w:t>
      </w:r>
      <w:r w:rsidRPr="000608A0">
        <w:rPr>
          <w:color w:val="425563"/>
        </w:rPr>
        <w:t xml:space="preserve"> the elastic consumption model makes it possible to link IT spend more closely to business priorities.</w:t>
      </w:r>
    </w:p>
    <w:p w14:paraId="4F0A34E9" w14:textId="2109ED52" w:rsidR="00966FEA" w:rsidRPr="00966FEA" w:rsidRDefault="00966FEA" w:rsidP="00966FEA">
      <w:pPr>
        <w:numPr>
          <w:ilvl w:val="0"/>
          <w:numId w:val="2"/>
        </w:numPr>
        <w:pBdr>
          <w:top w:val="nil"/>
          <w:left w:val="nil"/>
          <w:bottom w:val="nil"/>
          <w:right w:val="nil"/>
          <w:between w:val="nil"/>
        </w:pBdr>
        <w:rPr>
          <w:color w:val="425563"/>
        </w:rPr>
      </w:pPr>
      <w:r w:rsidRPr="00966FEA">
        <w:rPr>
          <w:color w:val="425563"/>
        </w:rPr>
        <w:t xml:space="preserve">Licencing – migration to cloud provides opportunities for licence consolidation and economies of scale.   </w:t>
      </w:r>
      <w:r w:rsidR="004626F9" w:rsidRPr="00966FEA">
        <w:rPr>
          <w:color w:val="425563"/>
        </w:rPr>
        <w:t>Additionally,</w:t>
      </w:r>
      <w:r w:rsidRPr="00966FEA">
        <w:rPr>
          <w:color w:val="425563"/>
        </w:rPr>
        <w:t xml:space="preserve"> it </w:t>
      </w:r>
      <w:proofErr w:type="gramStart"/>
      <w:r w:rsidRPr="00966FEA">
        <w:rPr>
          <w:color w:val="425563"/>
        </w:rPr>
        <w:t>opens up</w:t>
      </w:r>
      <w:proofErr w:type="gramEnd"/>
      <w:r w:rsidRPr="00966FEA">
        <w:rPr>
          <w:color w:val="425563"/>
        </w:rPr>
        <w:t xml:space="preserve"> “as a service” offerings from the cloud service providers which, in certain situations, can be more cost-effective than traditional per-seat licence models.</w:t>
      </w:r>
    </w:p>
    <w:p w14:paraId="0D6EEF75" w14:textId="5F072EB8" w:rsidR="00966FEA" w:rsidRDefault="00966FEA" w:rsidP="00966FEA">
      <w:pPr>
        <w:numPr>
          <w:ilvl w:val="0"/>
          <w:numId w:val="2"/>
        </w:numPr>
        <w:pBdr>
          <w:top w:val="nil"/>
          <w:left w:val="nil"/>
          <w:bottom w:val="nil"/>
          <w:right w:val="nil"/>
          <w:between w:val="nil"/>
        </w:pBdr>
        <w:rPr>
          <w:color w:val="425563"/>
        </w:rPr>
      </w:pPr>
      <w:r w:rsidRPr="00966FEA">
        <w:rPr>
          <w:color w:val="425563"/>
        </w:rPr>
        <w:t xml:space="preserve">Capex to </w:t>
      </w:r>
      <w:proofErr w:type="spellStart"/>
      <w:r w:rsidRPr="00966FEA">
        <w:rPr>
          <w:color w:val="425563"/>
        </w:rPr>
        <w:t>Opex</w:t>
      </w:r>
      <w:proofErr w:type="spellEnd"/>
      <w:r w:rsidRPr="00966FEA">
        <w:rPr>
          <w:color w:val="425563"/>
        </w:rPr>
        <w:t xml:space="preserve"> - </w:t>
      </w:r>
      <w:r w:rsidR="00B6325A">
        <w:rPr>
          <w:color w:val="425563"/>
        </w:rPr>
        <w:t>b</w:t>
      </w:r>
      <w:r w:rsidRPr="00966FEA">
        <w:rPr>
          <w:color w:val="425563"/>
        </w:rPr>
        <w:t xml:space="preserve">udget allocation </w:t>
      </w:r>
      <w:r w:rsidR="00B6325A">
        <w:rPr>
          <w:color w:val="425563"/>
        </w:rPr>
        <w:t>changes</w:t>
      </w:r>
      <w:r w:rsidRPr="00966FEA">
        <w:rPr>
          <w:color w:val="425563"/>
        </w:rPr>
        <w:t xml:space="preserve"> from a CAPEX investment to a usage based OPEX model.  Your organization will realize meaningful improvements in financial statements, with improved cash flow timing and a reduced need to acquire assets that result in a fixed cost structure.</w:t>
      </w:r>
    </w:p>
    <w:p w14:paraId="15ADD874" w14:textId="61FA786C" w:rsidR="004316AF" w:rsidRPr="003F5E3A" w:rsidRDefault="004316AF" w:rsidP="000608A0">
      <w:pPr>
        <w:numPr>
          <w:ilvl w:val="0"/>
          <w:numId w:val="2"/>
        </w:numPr>
        <w:pBdr>
          <w:top w:val="nil"/>
          <w:left w:val="nil"/>
          <w:bottom w:val="nil"/>
          <w:right w:val="nil"/>
          <w:between w:val="nil"/>
        </w:pBdr>
        <w:rPr>
          <w:color w:val="425563"/>
        </w:rPr>
      </w:pPr>
      <w:r w:rsidRPr="003F5E3A">
        <w:rPr>
          <w:color w:val="425563"/>
        </w:rPr>
        <w:t>Consolidat</w:t>
      </w:r>
      <w:r w:rsidR="003F5E3A" w:rsidRPr="003F5E3A">
        <w:rPr>
          <w:color w:val="425563"/>
        </w:rPr>
        <w:t xml:space="preserve">ion of </w:t>
      </w:r>
      <w:r w:rsidRPr="003F5E3A">
        <w:rPr>
          <w:color w:val="425563"/>
        </w:rPr>
        <w:t>IT Vendors – Looking to the future, should the NHS Trust nationally adopt cloud infrastructure into their IT ecosystem, the NHS could benefit from a standardisation of its infrastructure, which would allow the NHS to consolidate and reduce the number of vendors used for various software and hardware components, creating a simpler support model and again, benefiting from economies of scale.</w:t>
      </w:r>
    </w:p>
    <w:p w14:paraId="40A2F7DF" w14:textId="77777777" w:rsidR="004316AF" w:rsidRPr="00966FEA" w:rsidRDefault="004316AF" w:rsidP="004316AF">
      <w:pPr>
        <w:pBdr>
          <w:top w:val="nil"/>
          <w:left w:val="nil"/>
          <w:bottom w:val="nil"/>
          <w:right w:val="nil"/>
          <w:between w:val="nil"/>
        </w:pBdr>
        <w:rPr>
          <w:color w:val="425563"/>
        </w:rPr>
      </w:pPr>
    </w:p>
    <w:p w14:paraId="1B569E38" w14:textId="1047A0B1" w:rsidR="00452DE7" w:rsidRDefault="00452DE7" w:rsidP="00452DE7">
      <w:pPr>
        <w:pStyle w:val="Heading2"/>
      </w:pPr>
      <w:bookmarkStart w:id="5" w:name="_Toc106628098"/>
      <w:r>
        <w:t>Operational</w:t>
      </w:r>
      <w:bookmarkEnd w:id="5"/>
    </w:p>
    <w:p w14:paraId="79E0F3CB" w14:textId="386A9C7F" w:rsidR="00966FEA" w:rsidRPr="00966FEA" w:rsidRDefault="00966FEA" w:rsidP="00966FEA">
      <w:pPr>
        <w:numPr>
          <w:ilvl w:val="0"/>
          <w:numId w:val="2"/>
        </w:numPr>
        <w:pBdr>
          <w:top w:val="nil"/>
          <w:left w:val="nil"/>
          <w:bottom w:val="nil"/>
          <w:right w:val="nil"/>
          <w:between w:val="nil"/>
        </w:pBdr>
        <w:rPr>
          <w:color w:val="425563"/>
        </w:rPr>
      </w:pPr>
      <w:r w:rsidRPr="00966FEA">
        <w:rPr>
          <w:color w:val="425563"/>
        </w:rPr>
        <w:t>Scaling</w:t>
      </w:r>
      <w:r>
        <w:rPr>
          <w:color w:val="425563"/>
        </w:rPr>
        <w:t xml:space="preserve"> </w:t>
      </w:r>
      <w:r w:rsidRPr="00966FEA">
        <w:rPr>
          <w:color w:val="425563"/>
        </w:rPr>
        <w:t>- unlimited capacity / elasticity</w:t>
      </w:r>
      <w:r w:rsidR="002431A0">
        <w:rPr>
          <w:color w:val="425563"/>
        </w:rPr>
        <w:t xml:space="preserve"> - </w:t>
      </w:r>
      <w:r w:rsidRPr="00966FEA">
        <w:rPr>
          <w:color w:val="425563"/>
        </w:rPr>
        <w:t xml:space="preserve">Scale up and scale down according to demand. Reduce planning, </w:t>
      </w:r>
      <w:r w:rsidR="004626F9" w:rsidRPr="00966FEA">
        <w:rPr>
          <w:color w:val="425563"/>
        </w:rPr>
        <w:t>purchasing,</w:t>
      </w:r>
      <w:r w:rsidRPr="00966FEA">
        <w:rPr>
          <w:color w:val="425563"/>
        </w:rPr>
        <w:t xml:space="preserve"> and provisioning times from months to hours. Cloud computing improves scalability and flexibility for the NHS; organisations can scale their data storage capacity as needed in the cloud. It can enable the NHS to grow and adopt powerful computing capabilities, alter resources on-demand during demand spikes and run workloads closer to where physicians and clinical staff are. </w:t>
      </w:r>
    </w:p>
    <w:p w14:paraId="062DDC29" w14:textId="1494F270" w:rsidR="00966FEA" w:rsidRPr="00966FEA" w:rsidRDefault="00966FEA" w:rsidP="00966FEA">
      <w:pPr>
        <w:numPr>
          <w:ilvl w:val="0"/>
          <w:numId w:val="2"/>
        </w:numPr>
        <w:pBdr>
          <w:top w:val="nil"/>
          <w:left w:val="nil"/>
          <w:bottom w:val="nil"/>
          <w:right w:val="nil"/>
          <w:between w:val="nil"/>
        </w:pBdr>
        <w:rPr>
          <w:color w:val="425563"/>
        </w:rPr>
      </w:pPr>
      <w:r w:rsidRPr="00966FEA">
        <w:rPr>
          <w:color w:val="425563"/>
        </w:rPr>
        <w:t xml:space="preserve">Right-sizing - flexibility to reduce consumption of resources along in the event of a decrease in application usage. It is also possible to choose appropriate tiers of service, performance resilience, geographical distribution without changes to the application. </w:t>
      </w:r>
    </w:p>
    <w:p w14:paraId="0E2EE4F6" w14:textId="31256890" w:rsidR="00966FEA" w:rsidRPr="00966FEA" w:rsidRDefault="00966FEA" w:rsidP="00966FEA">
      <w:pPr>
        <w:numPr>
          <w:ilvl w:val="0"/>
          <w:numId w:val="2"/>
        </w:numPr>
        <w:pBdr>
          <w:top w:val="nil"/>
          <w:left w:val="nil"/>
          <w:bottom w:val="nil"/>
          <w:right w:val="nil"/>
          <w:between w:val="nil"/>
        </w:pBdr>
        <w:rPr>
          <w:color w:val="425563"/>
        </w:rPr>
      </w:pPr>
      <w:r w:rsidRPr="00966FEA">
        <w:rPr>
          <w:color w:val="425563"/>
        </w:rPr>
        <w:t>Resilience</w:t>
      </w:r>
      <w:r>
        <w:rPr>
          <w:color w:val="425563"/>
        </w:rPr>
        <w:t xml:space="preserve"> </w:t>
      </w:r>
      <w:r w:rsidRPr="00966FEA">
        <w:rPr>
          <w:color w:val="425563"/>
        </w:rPr>
        <w:t>- high availability (backed by provider SLA) is a simple configuration option which can be applied as needed to critical systems. Security and service availability options can be configured as appropriate to the criticality of the business services.</w:t>
      </w:r>
    </w:p>
    <w:p w14:paraId="359979CC" w14:textId="032926CC" w:rsidR="00966FEA" w:rsidRDefault="00966FEA" w:rsidP="00966FEA">
      <w:pPr>
        <w:numPr>
          <w:ilvl w:val="0"/>
          <w:numId w:val="2"/>
        </w:numPr>
        <w:pBdr>
          <w:top w:val="nil"/>
          <w:left w:val="nil"/>
          <w:bottom w:val="nil"/>
          <w:right w:val="nil"/>
          <w:between w:val="nil"/>
        </w:pBdr>
        <w:rPr>
          <w:color w:val="425563"/>
        </w:rPr>
      </w:pPr>
      <w:r w:rsidRPr="00966FEA">
        <w:rPr>
          <w:color w:val="425563"/>
        </w:rPr>
        <w:t>Disaster Recovery – like resilience – replication of data and platforms across geographies is a standard configuration option on cloud platforms. For instance, a natural disaster such as a flooding or a widespread power outage could inflict tremendous damage on hospital IT infrastructures. Remote cloud deployments can be used to back up hospital data and systems in an outage or cyberattack event.</w:t>
      </w:r>
    </w:p>
    <w:p w14:paraId="612B7668" w14:textId="77777777" w:rsidR="008629C2" w:rsidRPr="008629C2" w:rsidRDefault="008629C2" w:rsidP="008629C2">
      <w:pPr>
        <w:pStyle w:val="ListParagraph"/>
        <w:numPr>
          <w:ilvl w:val="0"/>
          <w:numId w:val="2"/>
        </w:numPr>
        <w:rPr>
          <w:color w:val="425563"/>
        </w:rPr>
      </w:pPr>
      <w:r w:rsidRPr="008629C2">
        <w:rPr>
          <w:color w:val="425563"/>
        </w:rPr>
        <w:t>Universal access &amp; federated access to data – Cloud-based patient medical data are far more accessible to authorised users than data stored locally, enabling interoperability and collaboration among NHS clinicians in different locations. As the NHS healthcare systems expand to new physical locations, cloud migration brings convenient means to securely access data and applications from any devices such as mobile phones, laptops, or wearable devices. This could benefit Trusts which expand locally through opening new hospitals, GP Practices, or the sharing of patient data nationally between different trust in different regions.</w:t>
      </w:r>
    </w:p>
    <w:p w14:paraId="5AF2F169" w14:textId="77777777" w:rsidR="004316AF" w:rsidRPr="004316AF" w:rsidRDefault="004316AF" w:rsidP="004316AF">
      <w:pPr>
        <w:numPr>
          <w:ilvl w:val="0"/>
          <w:numId w:val="2"/>
        </w:numPr>
        <w:pBdr>
          <w:top w:val="nil"/>
          <w:left w:val="nil"/>
          <w:bottom w:val="nil"/>
          <w:right w:val="nil"/>
          <w:between w:val="nil"/>
        </w:pBdr>
        <w:rPr>
          <w:color w:val="425563"/>
        </w:rPr>
      </w:pPr>
      <w:r w:rsidRPr="004316AF">
        <w:rPr>
          <w:color w:val="425563"/>
        </w:rPr>
        <w:t>Management layer - Consistent management across a broad range of technologies reduces issues of multi-vendor infrastructure support.  Opportunity to consolidate management tools.</w:t>
      </w:r>
    </w:p>
    <w:p w14:paraId="53C7BFAA" w14:textId="7EC93730" w:rsidR="008629C2" w:rsidRPr="00966FEA" w:rsidRDefault="004316AF" w:rsidP="004316AF">
      <w:pPr>
        <w:numPr>
          <w:ilvl w:val="0"/>
          <w:numId w:val="2"/>
        </w:numPr>
        <w:pBdr>
          <w:top w:val="nil"/>
          <w:left w:val="nil"/>
          <w:bottom w:val="nil"/>
          <w:right w:val="nil"/>
          <w:between w:val="nil"/>
        </w:pBdr>
        <w:rPr>
          <w:color w:val="425563"/>
        </w:rPr>
      </w:pPr>
      <w:r w:rsidRPr="004316AF">
        <w:rPr>
          <w:color w:val="425563"/>
        </w:rPr>
        <w:t>Automation – cloud management by API allows automation of IT operations, improving system stability, while reducing overheads.  Events such as resource provisioning, de-provisioning, auto-scaling, housekeeping, backups, scheduling, policy enforcement, reporting, can be scripted and orchestrated. Infrastructure is</w:t>
      </w:r>
      <w:r w:rsidR="00CE13D3">
        <w:rPr>
          <w:color w:val="425563"/>
        </w:rPr>
        <w:t xml:space="preserve"> </w:t>
      </w:r>
      <w:r w:rsidRPr="004316AF">
        <w:rPr>
          <w:color w:val="425563"/>
        </w:rPr>
        <w:t>defined as code (</w:t>
      </w:r>
      <w:proofErr w:type="spellStart"/>
      <w:r w:rsidRPr="004316AF">
        <w:rPr>
          <w:color w:val="425563"/>
        </w:rPr>
        <w:t>IaC</w:t>
      </w:r>
      <w:proofErr w:type="spellEnd"/>
      <w:r w:rsidRPr="004316AF">
        <w:rPr>
          <w:color w:val="425563"/>
        </w:rPr>
        <w:t>) and is managed through software development practices such as DevOps – including automated testing and deployment (CI/CD), code repositories.</w:t>
      </w:r>
    </w:p>
    <w:p w14:paraId="34B2D319" w14:textId="77777777" w:rsidR="004316AF" w:rsidRPr="004316AF" w:rsidRDefault="004316AF" w:rsidP="004316AF">
      <w:pPr>
        <w:numPr>
          <w:ilvl w:val="0"/>
          <w:numId w:val="2"/>
        </w:numPr>
        <w:pBdr>
          <w:top w:val="nil"/>
          <w:left w:val="nil"/>
          <w:bottom w:val="nil"/>
          <w:right w:val="nil"/>
          <w:between w:val="nil"/>
        </w:pBdr>
        <w:rPr>
          <w:color w:val="425563"/>
        </w:rPr>
      </w:pPr>
      <w:r w:rsidRPr="004316AF">
        <w:rPr>
          <w:color w:val="425563"/>
        </w:rPr>
        <w:t>Transfer of risk - The shared responsibility model allows the Trust to transfer the delivery risk of several "non-core" business functions to the service provider, away from the in-house IT team. The cloud service provider bears the responsibility for providing the infrastructure foundations including:</w:t>
      </w:r>
    </w:p>
    <w:p w14:paraId="4B593714" w14:textId="77777777" w:rsidR="004316AF" w:rsidRPr="004316AF" w:rsidRDefault="004316AF" w:rsidP="004316AF">
      <w:pPr>
        <w:numPr>
          <w:ilvl w:val="1"/>
          <w:numId w:val="2"/>
        </w:numPr>
        <w:pBdr>
          <w:top w:val="nil"/>
          <w:left w:val="nil"/>
          <w:bottom w:val="nil"/>
          <w:right w:val="nil"/>
          <w:between w:val="nil"/>
        </w:pBdr>
        <w:rPr>
          <w:color w:val="425563"/>
        </w:rPr>
      </w:pPr>
      <w:r w:rsidRPr="004316AF">
        <w:rPr>
          <w:color w:val="425563"/>
        </w:rPr>
        <w:t>Host operating system</w:t>
      </w:r>
    </w:p>
    <w:p w14:paraId="38A2E1AB" w14:textId="77777777" w:rsidR="004316AF" w:rsidRPr="004316AF" w:rsidRDefault="004316AF" w:rsidP="004316AF">
      <w:pPr>
        <w:numPr>
          <w:ilvl w:val="1"/>
          <w:numId w:val="2"/>
        </w:numPr>
        <w:pBdr>
          <w:top w:val="nil"/>
          <w:left w:val="nil"/>
          <w:bottom w:val="nil"/>
          <w:right w:val="nil"/>
          <w:between w:val="nil"/>
        </w:pBdr>
        <w:rPr>
          <w:color w:val="425563"/>
        </w:rPr>
      </w:pPr>
      <w:r w:rsidRPr="004316AF">
        <w:rPr>
          <w:color w:val="425563"/>
        </w:rPr>
        <w:t>Virtualisation layer</w:t>
      </w:r>
    </w:p>
    <w:p w14:paraId="5BB82A12" w14:textId="77777777" w:rsidR="004316AF" w:rsidRPr="004316AF" w:rsidRDefault="004316AF" w:rsidP="004316AF">
      <w:pPr>
        <w:numPr>
          <w:ilvl w:val="1"/>
          <w:numId w:val="2"/>
        </w:numPr>
        <w:pBdr>
          <w:top w:val="nil"/>
          <w:left w:val="nil"/>
          <w:bottom w:val="nil"/>
          <w:right w:val="nil"/>
          <w:between w:val="nil"/>
        </w:pBdr>
        <w:rPr>
          <w:color w:val="425563"/>
        </w:rPr>
      </w:pPr>
      <w:r w:rsidRPr="004316AF">
        <w:rPr>
          <w:color w:val="425563"/>
        </w:rPr>
        <w:t xml:space="preserve">Procure, install, and operate infrastructure hardware, software, networking </w:t>
      </w:r>
    </w:p>
    <w:p w14:paraId="4332E349" w14:textId="77777777" w:rsidR="004316AF" w:rsidRPr="004316AF" w:rsidRDefault="004316AF" w:rsidP="004316AF">
      <w:pPr>
        <w:numPr>
          <w:ilvl w:val="1"/>
          <w:numId w:val="2"/>
        </w:numPr>
        <w:pBdr>
          <w:top w:val="nil"/>
          <w:left w:val="nil"/>
          <w:bottom w:val="nil"/>
          <w:right w:val="nil"/>
          <w:between w:val="nil"/>
        </w:pBdr>
        <w:rPr>
          <w:color w:val="425563"/>
        </w:rPr>
      </w:pPr>
      <w:r w:rsidRPr="004316AF">
        <w:rPr>
          <w:color w:val="425563"/>
        </w:rPr>
        <w:t>Physical security</w:t>
      </w:r>
    </w:p>
    <w:p w14:paraId="12462CD5" w14:textId="77777777" w:rsidR="004316AF" w:rsidRPr="004316AF" w:rsidRDefault="004316AF" w:rsidP="004316AF">
      <w:pPr>
        <w:numPr>
          <w:ilvl w:val="1"/>
          <w:numId w:val="2"/>
        </w:numPr>
        <w:pBdr>
          <w:top w:val="nil"/>
          <w:left w:val="nil"/>
          <w:bottom w:val="nil"/>
          <w:right w:val="nil"/>
          <w:between w:val="nil"/>
        </w:pBdr>
        <w:rPr>
          <w:color w:val="425563"/>
        </w:rPr>
      </w:pPr>
      <w:r w:rsidRPr="004316AF">
        <w:rPr>
          <w:color w:val="425563"/>
        </w:rPr>
        <w:t xml:space="preserve">Operate and maintain datacentre facilities </w:t>
      </w:r>
    </w:p>
    <w:p w14:paraId="428F9C4E" w14:textId="7953028B" w:rsidR="004316AF" w:rsidRPr="000608A0" w:rsidRDefault="004316AF" w:rsidP="004316AF">
      <w:pPr>
        <w:pBdr>
          <w:top w:val="nil"/>
          <w:left w:val="nil"/>
          <w:bottom w:val="nil"/>
          <w:right w:val="nil"/>
          <w:between w:val="nil"/>
        </w:pBdr>
        <w:ind w:left="720"/>
        <w:rPr>
          <w:i/>
          <w:iCs/>
          <w:color w:val="425563"/>
        </w:rPr>
      </w:pPr>
      <w:r w:rsidRPr="000608A0">
        <w:rPr>
          <w:i/>
          <w:iCs/>
          <w:color w:val="425563"/>
        </w:rPr>
        <w:t>Note: shared responsibility models vary across serv</w:t>
      </w:r>
      <w:r w:rsidR="00A01751" w:rsidRPr="000608A0">
        <w:rPr>
          <w:i/>
          <w:iCs/>
          <w:color w:val="425563"/>
        </w:rPr>
        <w:t>ice providers and specific services. You are advised to double check what terms apply to any specific service.</w:t>
      </w:r>
    </w:p>
    <w:p w14:paraId="1126523E" w14:textId="77777777" w:rsidR="00966FEA" w:rsidRPr="00966FEA" w:rsidRDefault="00966FEA" w:rsidP="00966FEA"/>
    <w:p w14:paraId="72880C27" w14:textId="666AE87E" w:rsidR="00966FEA" w:rsidRPr="00966FEA" w:rsidRDefault="00966FEA" w:rsidP="00966FEA">
      <w:pPr>
        <w:pStyle w:val="Heading2"/>
      </w:pPr>
      <w:bookmarkStart w:id="6" w:name="_Toc106628099"/>
      <w:r>
        <w:t>Security</w:t>
      </w:r>
      <w:bookmarkEnd w:id="6"/>
    </w:p>
    <w:p w14:paraId="1888B3B2" w14:textId="77777777" w:rsidR="0072121F" w:rsidRPr="004F7AD7" w:rsidRDefault="004F7AD7" w:rsidP="0072121F">
      <w:pPr>
        <w:numPr>
          <w:ilvl w:val="0"/>
          <w:numId w:val="2"/>
        </w:numPr>
        <w:pBdr>
          <w:top w:val="nil"/>
          <w:left w:val="nil"/>
          <w:bottom w:val="nil"/>
          <w:right w:val="nil"/>
          <w:between w:val="nil"/>
        </w:pBdr>
        <w:rPr>
          <w:color w:val="425563"/>
        </w:rPr>
      </w:pPr>
      <w:r w:rsidRPr="004F7AD7">
        <w:rPr>
          <w:color w:val="425563"/>
        </w:rPr>
        <w:t xml:space="preserve">Security and Data Protection- </w:t>
      </w:r>
      <w:r w:rsidR="0072121F" w:rsidRPr="004F7AD7">
        <w:rPr>
          <w:color w:val="425563"/>
        </w:rPr>
        <w:t xml:space="preserve">Cloud platforms provide strong, policy-based mechanisms to ensure that only people with appropriate permissions </w:t>
      </w:r>
      <w:proofErr w:type="gramStart"/>
      <w:r w:rsidR="0072121F" w:rsidRPr="004F7AD7">
        <w:rPr>
          <w:color w:val="425563"/>
        </w:rPr>
        <w:t>are able to</w:t>
      </w:r>
      <w:proofErr w:type="gramEnd"/>
      <w:r w:rsidR="0072121F" w:rsidRPr="004F7AD7">
        <w:rPr>
          <w:color w:val="425563"/>
        </w:rPr>
        <w:t xml:space="preserve"> access the data they need.</w:t>
      </w:r>
      <w:r w:rsidR="0072121F">
        <w:rPr>
          <w:color w:val="425563"/>
        </w:rPr>
        <w:t xml:space="preserve">   </w:t>
      </w:r>
    </w:p>
    <w:p w14:paraId="38ECE0FC" w14:textId="120250A5" w:rsidR="00523D36" w:rsidRPr="004F7AD7" w:rsidRDefault="00523D36" w:rsidP="004F7AD7">
      <w:pPr>
        <w:numPr>
          <w:ilvl w:val="0"/>
          <w:numId w:val="2"/>
        </w:numPr>
        <w:pBdr>
          <w:top w:val="nil"/>
          <w:left w:val="nil"/>
          <w:bottom w:val="nil"/>
          <w:right w:val="nil"/>
          <w:between w:val="nil"/>
        </w:pBdr>
        <w:rPr>
          <w:color w:val="425563"/>
        </w:rPr>
      </w:pPr>
      <w:r w:rsidRPr="004F7AD7">
        <w:rPr>
          <w:color w:val="425563"/>
        </w:rPr>
        <w:t xml:space="preserve">Maintaining the security of a data centre and virtualised infrastructure is an increasingly challenging job due to the evolving threat of cyber-attacks and not one that many organisations can specialise </w:t>
      </w:r>
      <w:r w:rsidR="00CE13D3" w:rsidRPr="004F7AD7">
        <w:rPr>
          <w:color w:val="425563"/>
        </w:rPr>
        <w:t xml:space="preserve">in. </w:t>
      </w:r>
      <w:r w:rsidRPr="004F7AD7">
        <w:rPr>
          <w:color w:val="425563"/>
        </w:rPr>
        <w:t>By contrast, cloud service providers maintain a constant security operation to mitigate many common risks.</w:t>
      </w:r>
    </w:p>
    <w:p w14:paraId="351F4CBE" w14:textId="4F62602C" w:rsidR="004F7AD7" w:rsidRPr="004F7AD7" w:rsidRDefault="004F7AD7" w:rsidP="004F7AD7">
      <w:pPr>
        <w:numPr>
          <w:ilvl w:val="0"/>
          <w:numId w:val="2"/>
        </w:numPr>
        <w:pBdr>
          <w:top w:val="nil"/>
          <w:left w:val="nil"/>
          <w:bottom w:val="nil"/>
          <w:right w:val="nil"/>
          <w:between w:val="nil"/>
        </w:pBdr>
        <w:rPr>
          <w:color w:val="425563"/>
        </w:rPr>
      </w:pPr>
      <w:r w:rsidRPr="004F7AD7">
        <w:rPr>
          <w:color w:val="425563"/>
        </w:rPr>
        <w:t xml:space="preserve">Security used to be the top obstacle to cloud adoption in healthcare. Today, healthcare organizations are struggling to manage the latest security threats. 75% of current cloud users investing in cloud to reduce security risks say it is highly effective at mitigating risks.  </w:t>
      </w:r>
    </w:p>
    <w:p w14:paraId="727FFD89" w14:textId="77777777" w:rsidR="00523D36" w:rsidRDefault="00523D36" w:rsidP="008629C2">
      <w:pPr>
        <w:numPr>
          <w:ilvl w:val="0"/>
          <w:numId w:val="2"/>
        </w:numPr>
        <w:pBdr>
          <w:top w:val="nil"/>
          <w:left w:val="nil"/>
          <w:bottom w:val="nil"/>
          <w:right w:val="nil"/>
          <w:between w:val="nil"/>
        </w:pBdr>
        <w:rPr>
          <w:color w:val="425563"/>
        </w:rPr>
      </w:pPr>
      <w:r w:rsidRPr="004F7AD7">
        <w:rPr>
          <w:color w:val="425563"/>
        </w:rPr>
        <w:t xml:space="preserve">Security tooling </w:t>
      </w:r>
      <w:r>
        <w:rPr>
          <w:color w:val="425563"/>
        </w:rPr>
        <w:t xml:space="preserve">- </w:t>
      </w:r>
      <w:r w:rsidRPr="004F7AD7">
        <w:rPr>
          <w:color w:val="425563"/>
        </w:rPr>
        <w:t>cloud providers understand this is a complex area and provide customers the tooling required to implement access control, identity management, controls, log aggregation, and security event detection and management.  Cloud platforms provide the tools to automate most security tasks thus improving security by reducing human configuration errors.</w:t>
      </w:r>
    </w:p>
    <w:p w14:paraId="5E7F4D18" w14:textId="77777777" w:rsidR="008629C2" w:rsidRPr="00966FEA" w:rsidRDefault="008629C2" w:rsidP="00966FEA">
      <w:pPr>
        <w:numPr>
          <w:ilvl w:val="0"/>
          <w:numId w:val="2"/>
        </w:numPr>
        <w:pBdr>
          <w:top w:val="nil"/>
          <w:left w:val="nil"/>
          <w:bottom w:val="nil"/>
          <w:right w:val="nil"/>
          <w:between w:val="nil"/>
        </w:pBdr>
        <w:rPr>
          <w:color w:val="425563"/>
        </w:rPr>
      </w:pPr>
      <w:r w:rsidRPr="00966FEA">
        <w:rPr>
          <w:color w:val="425563"/>
        </w:rPr>
        <w:t>Compliance</w:t>
      </w:r>
      <w:r>
        <w:rPr>
          <w:color w:val="425563"/>
        </w:rPr>
        <w:t xml:space="preserve"> </w:t>
      </w:r>
      <w:r w:rsidRPr="00966FEA">
        <w:rPr>
          <w:color w:val="425563"/>
        </w:rPr>
        <w:t>- cloud platforms enable strong policy-based enforcement of business rules for data governance and data privacy.  The major cloud providers are compliant with prevailing UK, EU, and global data protection standards.</w:t>
      </w:r>
    </w:p>
    <w:p w14:paraId="22375386" w14:textId="77777777" w:rsidR="000608A0" w:rsidRPr="008629C2" w:rsidRDefault="000608A0" w:rsidP="000608A0">
      <w:pPr>
        <w:pBdr>
          <w:top w:val="nil"/>
          <w:left w:val="nil"/>
          <w:bottom w:val="nil"/>
          <w:right w:val="nil"/>
          <w:between w:val="nil"/>
        </w:pBdr>
        <w:rPr>
          <w:color w:val="425563"/>
        </w:rPr>
      </w:pPr>
    </w:p>
    <w:p w14:paraId="55617DF6" w14:textId="5C6AA4D8" w:rsidR="00452DE7" w:rsidRPr="00452DE7" w:rsidRDefault="00452DE7" w:rsidP="00452DE7">
      <w:pPr>
        <w:pStyle w:val="Heading2"/>
      </w:pPr>
      <w:bookmarkStart w:id="7" w:name="_Toc106628100"/>
      <w:r>
        <w:t>Environmental</w:t>
      </w:r>
      <w:bookmarkEnd w:id="7"/>
    </w:p>
    <w:p w14:paraId="75F2126A" w14:textId="3F8C03E9" w:rsidR="00452DE7" w:rsidRPr="00CE052A" w:rsidRDefault="008629C2" w:rsidP="00CE052A">
      <w:pPr>
        <w:numPr>
          <w:ilvl w:val="0"/>
          <w:numId w:val="2"/>
        </w:numPr>
        <w:pBdr>
          <w:top w:val="nil"/>
          <w:left w:val="nil"/>
          <w:bottom w:val="nil"/>
          <w:right w:val="nil"/>
          <w:between w:val="nil"/>
        </w:pBdr>
        <w:rPr>
          <w:color w:val="425563"/>
        </w:rPr>
      </w:pPr>
      <w:r w:rsidRPr="00CE052A">
        <w:rPr>
          <w:color w:val="425563"/>
        </w:rPr>
        <w:t>Sustainability - the hyper-scale cloud service providers have stated the ambition to achieve carbon neutrality by set dates. To do this, they are investing significant engineering effort to reduce the environmental impact of their operations, by optimising every element of the infrastructure ecosystem, and by powering their datacentres with renewable energy sources.</w:t>
      </w:r>
    </w:p>
    <w:p w14:paraId="797EDF60" w14:textId="134C6EFF" w:rsidR="000608A0" w:rsidRDefault="000608A0" w:rsidP="00452DE7"/>
    <w:p w14:paraId="5C2B2126" w14:textId="320ED929" w:rsidR="004316AF" w:rsidRDefault="004316AF" w:rsidP="004316AF">
      <w:pPr>
        <w:pStyle w:val="Heading2"/>
      </w:pPr>
      <w:bookmarkStart w:id="8" w:name="_Toc106628101"/>
      <w:r>
        <w:t>People</w:t>
      </w:r>
      <w:bookmarkEnd w:id="8"/>
    </w:p>
    <w:p w14:paraId="6C74A62D" w14:textId="5649DB6A" w:rsidR="004316AF" w:rsidRPr="004316AF" w:rsidRDefault="004316AF" w:rsidP="004316AF">
      <w:pPr>
        <w:numPr>
          <w:ilvl w:val="0"/>
          <w:numId w:val="2"/>
        </w:numPr>
        <w:pBdr>
          <w:top w:val="nil"/>
          <w:left w:val="nil"/>
          <w:bottom w:val="nil"/>
          <w:right w:val="nil"/>
          <w:between w:val="nil"/>
        </w:pBdr>
        <w:rPr>
          <w:color w:val="425563"/>
        </w:rPr>
      </w:pPr>
      <w:r w:rsidRPr="004316AF">
        <w:rPr>
          <w:color w:val="425563"/>
        </w:rPr>
        <w:t xml:space="preserve">Staffing / Skills - Management of IT infrastructure requires </w:t>
      </w:r>
      <w:proofErr w:type="gramStart"/>
      <w:r w:rsidRPr="004316AF">
        <w:rPr>
          <w:color w:val="425563"/>
        </w:rPr>
        <w:t>a number of</w:t>
      </w:r>
      <w:proofErr w:type="gramEnd"/>
      <w:r w:rsidRPr="004316AF">
        <w:rPr>
          <w:color w:val="425563"/>
        </w:rPr>
        <w:t xml:space="preserve"> niche specialist skills. It is a challenge to keep skills up to date and maintain staff coverage over time.  In the cloud, the complexities of underlying infrastructure are hidden under a common management layer, reducing the dependency on specialist knowledge of specific infrastructure items (</w:t>
      </w:r>
      <w:r w:rsidR="004626F9" w:rsidRPr="004316AF">
        <w:rPr>
          <w:color w:val="425563"/>
        </w:rPr>
        <w:t>e.g.,</w:t>
      </w:r>
      <w:r w:rsidRPr="004316AF">
        <w:rPr>
          <w:color w:val="425563"/>
        </w:rPr>
        <w:t xml:space="preserve"> SAN fabrics, firewalls).  </w:t>
      </w:r>
    </w:p>
    <w:p w14:paraId="7B819EC3" w14:textId="671544DC" w:rsidR="004316AF" w:rsidRPr="004316AF" w:rsidRDefault="004316AF" w:rsidP="004316AF">
      <w:pPr>
        <w:numPr>
          <w:ilvl w:val="0"/>
          <w:numId w:val="2"/>
        </w:numPr>
        <w:pBdr>
          <w:top w:val="nil"/>
          <w:left w:val="nil"/>
          <w:bottom w:val="nil"/>
          <w:right w:val="nil"/>
          <w:between w:val="nil"/>
        </w:pBdr>
        <w:rPr>
          <w:color w:val="425563"/>
        </w:rPr>
      </w:pPr>
      <w:r w:rsidRPr="004316AF">
        <w:rPr>
          <w:color w:val="425563"/>
        </w:rPr>
        <w:t xml:space="preserve">Most organisations rely on a small IT team working an </w:t>
      </w:r>
      <w:r w:rsidR="004626F9" w:rsidRPr="004316AF">
        <w:rPr>
          <w:color w:val="425563"/>
        </w:rPr>
        <w:t>8-hour</w:t>
      </w:r>
      <w:r w:rsidRPr="004316AF">
        <w:rPr>
          <w:color w:val="425563"/>
        </w:rPr>
        <w:t xml:space="preserve"> day to ensure adequate operations cover is in place, but cloud providers such as Amazon and Microsoft have round-the-clock teams dedicated to this kind of activity.</w:t>
      </w:r>
    </w:p>
    <w:p w14:paraId="7EADBAB4" w14:textId="4A37DB77" w:rsidR="004316AF" w:rsidRPr="004316AF" w:rsidRDefault="004316AF" w:rsidP="004316AF">
      <w:pPr>
        <w:numPr>
          <w:ilvl w:val="0"/>
          <w:numId w:val="2"/>
        </w:numPr>
        <w:pBdr>
          <w:top w:val="nil"/>
          <w:left w:val="nil"/>
          <w:bottom w:val="nil"/>
          <w:right w:val="nil"/>
          <w:between w:val="nil"/>
        </w:pBdr>
        <w:rPr>
          <w:color w:val="425563"/>
        </w:rPr>
      </w:pPr>
      <w:r w:rsidRPr="004316AF">
        <w:rPr>
          <w:color w:val="425563"/>
        </w:rPr>
        <w:t>Cloud adoption is also a means to attract talent to the trust who are keen to work with current technologies.  The major cloud service providers offer education and skills development programmes to their customers as part of a package of incentives.</w:t>
      </w:r>
    </w:p>
    <w:p w14:paraId="5AA2A20D" w14:textId="2C2FAA9C" w:rsidR="00C04BC5" w:rsidRDefault="00C04BC5" w:rsidP="00452DE7"/>
    <w:p w14:paraId="3BB0ED00" w14:textId="5AB8A72A" w:rsidR="00C04BC5" w:rsidRDefault="00C04BC5" w:rsidP="00C04BC5">
      <w:pPr>
        <w:pStyle w:val="Heading1"/>
      </w:pPr>
      <w:bookmarkStart w:id="9" w:name="_Toc106628102"/>
      <w:r>
        <w:t>Risks</w:t>
      </w:r>
      <w:bookmarkEnd w:id="9"/>
    </w:p>
    <w:p w14:paraId="78F1DE68" w14:textId="482A77C5" w:rsidR="00D750AE" w:rsidRDefault="00D750AE" w:rsidP="00D750AE">
      <w:pPr>
        <w:pStyle w:val="Heading2"/>
      </w:pPr>
      <w:bookmarkStart w:id="10" w:name="_Toc106628103"/>
      <w:r>
        <w:t>Risks of moving to the cloud</w:t>
      </w:r>
      <w:bookmarkEnd w:id="10"/>
    </w:p>
    <w:p w14:paraId="36AFBCDC" w14:textId="77777777" w:rsidR="00D750AE" w:rsidRPr="00D750AE" w:rsidRDefault="00D750AE" w:rsidP="00D750AE">
      <w:pPr>
        <w:numPr>
          <w:ilvl w:val="0"/>
          <w:numId w:val="2"/>
        </w:numPr>
        <w:pBdr>
          <w:top w:val="nil"/>
          <w:left w:val="nil"/>
          <w:bottom w:val="nil"/>
          <w:right w:val="nil"/>
          <w:between w:val="nil"/>
        </w:pBdr>
        <w:rPr>
          <w:color w:val="425563"/>
        </w:rPr>
      </w:pPr>
      <w:r w:rsidRPr="00D750AE">
        <w:rPr>
          <w:color w:val="425563"/>
        </w:rPr>
        <w:t>Service Disruption to workloads during migration – As with all migrations, there is a risk to any application while it is in transit. Managing this risk will require the involvement of the business in transformation planning and prioritisation of workloads.  The business's role in that activity is to communicate the business operations risk of changing prioritized workloads. Helping IT choose workloads that have a lower impact on operations will reduce the overall risk.</w:t>
      </w:r>
    </w:p>
    <w:p w14:paraId="0EED19A5" w14:textId="77777777" w:rsidR="00D750AE" w:rsidRPr="00D750AE" w:rsidRDefault="00D750AE" w:rsidP="00D750AE">
      <w:pPr>
        <w:numPr>
          <w:ilvl w:val="0"/>
          <w:numId w:val="2"/>
        </w:numPr>
        <w:pBdr>
          <w:top w:val="nil"/>
          <w:left w:val="nil"/>
          <w:bottom w:val="nil"/>
          <w:right w:val="nil"/>
          <w:between w:val="nil"/>
        </w:pBdr>
        <w:rPr>
          <w:color w:val="425563"/>
        </w:rPr>
      </w:pPr>
      <w:r w:rsidRPr="00D750AE">
        <w:rPr>
          <w:color w:val="425563"/>
        </w:rPr>
        <w:t>Budget control - Cost models change in the cloud. This change can create risks associated with cost overruns or increases in the cost of delivering services. When business works closely with IT, it's feasible to create transparency regarding costs and services consumed by various business units, programs, or projects. To mitigate this risk, it is important to focus on the mindset shift from the capex model to the consumption model as well as implementing sound FinOps disciplines.</w:t>
      </w:r>
    </w:p>
    <w:p w14:paraId="38FD7AA0" w14:textId="1BBFC297" w:rsidR="00D750AE" w:rsidRPr="00D750AE" w:rsidRDefault="00D750AE" w:rsidP="00D750AE">
      <w:pPr>
        <w:numPr>
          <w:ilvl w:val="0"/>
          <w:numId w:val="2"/>
        </w:numPr>
        <w:pBdr>
          <w:top w:val="nil"/>
          <w:left w:val="nil"/>
          <w:bottom w:val="nil"/>
          <w:right w:val="nil"/>
          <w:between w:val="nil"/>
        </w:pBdr>
        <w:rPr>
          <w:color w:val="425563"/>
        </w:rPr>
      </w:pPr>
      <w:r w:rsidRPr="00D750AE">
        <w:rPr>
          <w:color w:val="425563"/>
        </w:rPr>
        <w:t xml:space="preserve">Resistance to change – A transition from legacy infrastructure to Cloud can sometimes feel daunting for an IT workforce who are accustomed to the existing IT ecosystem, this is </w:t>
      </w:r>
      <w:r w:rsidR="00C673C3">
        <w:rPr>
          <w:color w:val="425563"/>
        </w:rPr>
        <w:t xml:space="preserve">further </w:t>
      </w:r>
      <w:r w:rsidR="00CE13D3">
        <w:rPr>
          <w:color w:val="425563"/>
        </w:rPr>
        <w:t xml:space="preserve">exacerbated </w:t>
      </w:r>
      <w:r w:rsidRPr="00D750AE">
        <w:rPr>
          <w:color w:val="425563"/>
        </w:rPr>
        <w:t xml:space="preserve">if the IT workforce do not have the necessary capacity to train </w:t>
      </w:r>
      <w:r w:rsidR="003A6625">
        <w:rPr>
          <w:color w:val="425563"/>
        </w:rPr>
        <w:t xml:space="preserve">themselves </w:t>
      </w:r>
      <w:r w:rsidRPr="00D750AE">
        <w:rPr>
          <w:color w:val="425563"/>
        </w:rPr>
        <w:t>and support the transition to cloud.</w:t>
      </w:r>
    </w:p>
    <w:p w14:paraId="6F5621FE" w14:textId="508FABE5" w:rsidR="00D750AE" w:rsidRPr="00D750AE" w:rsidRDefault="00D750AE" w:rsidP="00D750AE">
      <w:pPr>
        <w:numPr>
          <w:ilvl w:val="0"/>
          <w:numId w:val="2"/>
        </w:numPr>
        <w:pBdr>
          <w:top w:val="nil"/>
          <w:left w:val="nil"/>
          <w:bottom w:val="nil"/>
          <w:right w:val="nil"/>
          <w:between w:val="nil"/>
        </w:pBdr>
        <w:rPr>
          <w:color w:val="425563"/>
        </w:rPr>
      </w:pPr>
      <w:r w:rsidRPr="00D750AE">
        <w:rPr>
          <w:color w:val="425563"/>
        </w:rPr>
        <w:t>Analysis paralysis – it is easy to become over-ambitious at the start of the journey and try to tackle too much scope. To ensure steady progress, start with simple, non-business-critical applications to develop the skills and confidence in your cloud competencies. As you develop your organization’s abilities to learn, to lead, to scale, and to secure, you should also be ready to tackle more complex and critical applications</w:t>
      </w:r>
    </w:p>
    <w:p w14:paraId="2041A8CB" w14:textId="33DA6F4F" w:rsidR="00D750AE" w:rsidRDefault="00D750AE" w:rsidP="00D750AE">
      <w:pPr>
        <w:numPr>
          <w:ilvl w:val="0"/>
          <w:numId w:val="2"/>
        </w:numPr>
        <w:pBdr>
          <w:top w:val="nil"/>
          <w:left w:val="nil"/>
          <w:bottom w:val="nil"/>
          <w:right w:val="nil"/>
          <w:between w:val="nil"/>
        </w:pBdr>
        <w:rPr>
          <w:color w:val="425563"/>
        </w:rPr>
      </w:pPr>
      <w:r w:rsidRPr="00D750AE">
        <w:rPr>
          <w:color w:val="425563"/>
        </w:rPr>
        <w:t>Organisation alignment – to ensure support for the cloud migration, ensure that stakeholders understand the motivations and benefits of the change and are involved in the planning and prioritisation of the migration activities.</w:t>
      </w:r>
    </w:p>
    <w:p w14:paraId="5DECF60D" w14:textId="77777777" w:rsidR="000608A0" w:rsidRPr="00D750AE" w:rsidRDefault="000608A0" w:rsidP="000608A0">
      <w:pPr>
        <w:pBdr>
          <w:top w:val="nil"/>
          <w:left w:val="nil"/>
          <w:bottom w:val="nil"/>
          <w:right w:val="nil"/>
          <w:between w:val="nil"/>
        </w:pBdr>
        <w:rPr>
          <w:color w:val="425563"/>
        </w:rPr>
      </w:pPr>
    </w:p>
    <w:p w14:paraId="08BCFB8B" w14:textId="50D280ED" w:rsidR="00D750AE" w:rsidRPr="00D750AE" w:rsidRDefault="00D750AE" w:rsidP="00D750AE">
      <w:pPr>
        <w:pStyle w:val="Heading2"/>
      </w:pPr>
      <w:bookmarkStart w:id="11" w:name="_Toc106628104"/>
      <w:r>
        <w:t>Risks of not moving to the cloud</w:t>
      </w:r>
      <w:bookmarkEnd w:id="11"/>
      <w:r>
        <w:t xml:space="preserve"> </w:t>
      </w:r>
    </w:p>
    <w:p w14:paraId="02566063" w14:textId="77777777" w:rsidR="00D750AE" w:rsidRPr="00D750AE" w:rsidRDefault="00D750AE" w:rsidP="00D750AE">
      <w:pPr>
        <w:numPr>
          <w:ilvl w:val="0"/>
          <w:numId w:val="2"/>
        </w:numPr>
        <w:pBdr>
          <w:top w:val="nil"/>
          <w:left w:val="nil"/>
          <w:bottom w:val="nil"/>
          <w:right w:val="nil"/>
          <w:between w:val="nil"/>
        </w:pBdr>
        <w:rPr>
          <w:color w:val="425563"/>
        </w:rPr>
      </w:pPr>
      <w:r w:rsidRPr="00D750AE">
        <w:rPr>
          <w:color w:val="425563"/>
        </w:rPr>
        <w:t>Scaling – IT systems are limited by capacity constraints of legacy infrastructure and datacentres.  In extreme cases this can lead to service impacting incidents.</w:t>
      </w:r>
    </w:p>
    <w:p w14:paraId="46BC5642" w14:textId="0CD75E0B" w:rsidR="00D750AE" w:rsidRPr="00D750AE" w:rsidRDefault="00D750AE" w:rsidP="00D750AE">
      <w:pPr>
        <w:numPr>
          <w:ilvl w:val="0"/>
          <w:numId w:val="2"/>
        </w:numPr>
        <w:pBdr>
          <w:top w:val="nil"/>
          <w:left w:val="nil"/>
          <w:bottom w:val="nil"/>
          <w:right w:val="nil"/>
          <w:between w:val="nil"/>
        </w:pBdr>
        <w:rPr>
          <w:color w:val="425563"/>
        </w:rPr>
      </w:pPr>
      <w:r w:rsidRPr="00D750AE">
        <w:rPr>
          <w:color w:val="425563"/>
        </w:rPr>
        <w:t xml:space="preserve">Reliability and cost risks associated with legacy infrastructure – over time, hardware reliability </w:t>
      </w:r>
      <w:r w:rsidR="00910EFE" w:rsidRPr="00D750AE">
        <w:rPr>
          <w:color w:val="425563"/>
        </w:rPr>
        <w:t>decreases,</w:t>
      </w:r>
      <w:r w:rsidR="004626F9">
        <w:rPr>
          <w:color w:val="425563"/>
        </w:rPr>
        <w:t xml:space="preserve"> </w:t>
      </w:r>
      <w:r w:rsidRPr="00D750AE">
        <w:rPr>
          <w:color w:val="425563"/>
        </w:rPr>
        <w:t>and service costs are likely to increase.</w:t>
      </w:r>
    </w:p>
    <w:p w14:paraId="424606D5" w14:textId="77777777" w:rsidR="00D750AE" w:rsidRPr="00D750AE" w:rsidRDefault="00D750AE" w:rsidP="00D750AE">
      <w:pPr>
        <w:numPr>
          <w:ilvl w:val="0"/>
          <w:numId w:val="2"/>
        </w:numPr>
        <w:pBdr>
          <w:top w:val="nil"/>
          <w:left w:val="nil"/>
          <w:bottom w:val="nil"/>
          <w:right w:val="nil"/>
          <w:between w:val="nil"/>
        </w:pBdr>
        <w:rPr>
          <w:color w:val="425563"/>
        </w:rPr>
      </w:pPr>
      <w:r w:rsidRPr="00D750AE">
        <w:rPr>
          <w:color w:val="425563"/>
        </w:rPr>
        <w:t>Compliance – Most IT environments are heterogenous with mixed legacy and age.  It is challenging to implement robust controls over the data without restricting business access.</w:t>
      </w:r>
    </w:p>
    <w:p w14:paraId="1380F698" w14:textId="77777777" w:rsidR="00D750AE" w:rsidRPr="00D750AE" w:rsidRDefault="00D750AE" w:rsidP="00D750AE">
      <w:pPr>
        <w:numPr>
          <w:ilvl w:val="0"/>
          <w:numId w:val="2"/>
        </w:numPr>
        <w:pBdr>
          <w:top w:val="nil"/>
          <w:left w:val="nil"/>
          <w:bottom w:val="nil"/>
          <w:right w:val="nil"/>
          <w:between w:val="nil"/>
        </w:pBdr>
        <w:rPr>
          <w:color w:val="425563"/>
        </w:rPr>
      </w:pPr>
      <w:r w:rsidRPr="00D750AE">
        <w:rPr>
          <w:color w:val="425563"/>
        </w:rPr>
        <w:t>Technology refresh – costs and effort required to re-procure and replace legacy hardware do not deliver business benefit other than to maintain the status quo.</w:t>
      </w:r>
    </w:p>
    <w:p w14:paraId="5580D732" w14:textId="2A58F1DF" w:rsidR="00D750AE" w:rsidRPr="00D750AE" w:rsidRDefault="00D750AE" w:rsidP="00D750AE">
      <w:pPr>
        <w:numPr>
          <w:ilvl w:val="0"/>
          <w:numId w:val="2"/>
        </w:numPr>
        <w:pBdr>
          <w:top w:val="nil"/>
          <w:left w:val="nil"/>
          <w:bottom w:val="nil"/>
          <w:right w:val="nil"/>
          <w:between w:val="nil"/>
        </w:pBdr>
        <w:rPr>
          <w:color w:val="425563"/>
        </w:rPr>
      </w:pPr>
      <w:r w:rsidRPr="00D750AE">
        <w:rPr>
          <w:color w:val="425563"/>
        </w:rPr>
        <w:t xml:space="preserve">Licence efficiency </w:t>
      </w:r>
      <w:r w:rsidR="004626F9" w:rsidRPr="00D750AE">
        <w:rPr>
          <w:color w:val="425563"/>
        </w:rPr>
        <w:t>– Physical</w:t>
      </w:r>
      <w:r w:rsidRPr="00D750AE">
        <w:rPr>
          <w:color w:val="425563"/>
        </w:rPr>
        <w:t xml:space="preserve"> Hardware and software licensing for on premise use is increasing in cost annually.   The current trend for major vendors is to move to a service model and the increasing prices of traditional licences to incentivise companies to move into the cloud.</w:t>
      </w:r>
    </w:p>
    <w:p w14:paraId="2804E75D" w14:textId="4ACC78EC" w:rsidR="00C04BC5" w:rsidRPr="00D750AE" w:rsidRDefault="00D750AE" w:rsidP="00D750AE">
      <w:pPr>
        <w:numPr>
          <w:ilvl w:val="0"/>
          <w:numId w:val="2"/>
        </w:numPr>
        <w:pBdr>
          <w:top w:val="nil"/>
          <w:left w:val="nil"/>
          <w:bottom w:val="nil"/>
          <w:right w:val="nil"/>
          <w:between w:val="nil"/>
        </w:pBdr>
        <w:rPr>
          <w:color w:val="425563"/>
        </w:rPr>
      </w:pPr>
      <w:r w:rsidRPr="00D750AE">
        <w:rPr>
          <w:color w:val="425563"/>
        </w:rPr>
        <w:t xml:space="preserve">Cybersecurity risks continue to increase – </w:t>
      </w:r>
      <w:proofErr w:type="gramStart"/>
      <w:r w:rsidRPr="00D750AE">
        <w:rPr>
          <w:color w:val="425563"/>
        </w:rPr>
        <w:t>in order to</w:t>
      </w:r>
      <w:proofErr w:type="gramEnd"/>
      <w:r w:rsidRPr="00D750AE">
        <w:rPr>
          <w:color w:val="425563"/>
        </w:rPr>
        <w:t xml:space="preserve"> meet the growing threats and maintain a robust compliance posture, investment in Physical IT infrastructure will need to increase by at least 50%.</w:t>
      </w:r>
    </w:p>
    <w:p w14:paraId="71F2D315" w14:textId="4A737791" w:rsidR="00F05B33" w:rsidRPr="000608A0" w:rsidRDefault="00F05B33" w:rsidP="000608A0">
      <w:pPr>
        <w:textboxTightWrap w:val="none"/>
      </w:pPr>
    </w:p>
    <w:sectPr w:rsidR="00F05B33" w:rsidRPr="000608A0">
      <w:headerReference w:type="default" r:id="rId12"/>
      <w:pgSz w:w="11906" w:h="16838"/>
      <w:pgMar w:top="1021" w:right="1021" w:bottom="1021" w:left="1021" w:header="454" w:footer="55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44BB8A" w14:textId="77777777" w:rsidR="001D6EF2" w:rsidRDefault="001D6EF2">
      <w:pPr>
        <w:spacing w:after="0"/>
      </w:pPr>
      <w:r>
        <w:separator/>
      </w:r>
    </w:p>
  </w:endnote>
  <w:endnote w:type="continuationSeparator" w:id="0">
    <w:p w14:paraId="77CCAA08" w14:textId="77777777" w:rsidR="001D6EF2" w:rsidRDefault="001D6EF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FrutigerLTStd-Light">
    <w:altName w:val="Calibri"/>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653011" w14:textId="77777777" w:rsidR="00F05B33" w:rsidRDefault="00F05B33">
    <w:pPr>
      <w:tabs>
        <w:tab w:val="left" w:pos="426"/>
      </w:tabs>
    </w:pPr>
  </w:p>
  <w:p w14:paraId="6BF1E24D" w14:textId="77777777" w:rsidR="00F05B33" w:rsidRDefault="003B72E3">
    <w:pPr>
      <w:pBdr>
        <w:top w:val="nil"/>
        <w:left w:val="nil"/>
        <w:bottom w:val="nil"/>
        <w:right w:val="nil"/>
        <w:between w:val="nil"/>
      </w:pBdr>
      <w:tabs>
        <w:tab w:val="left" w:pos="426"/>
        <w:tab w:val="right" w:pos="9866"/>
      </w:tabs>
      <w:spacing w:after="0"/>
      <w:rPr>
        <w:color w:val="425563"/>
        <w:sz w:val="18"/>
        <w:szCs w:val="18"/>
      </w:rPr>
    </w:pPr>
    <w:r>
      <w:rPr>
        <w:color w:val="425563"/>
        <w:sz w:val="18"/>
        <w:szCs w:val="18"/>
      </w:rPr>
      <w:t>Copyright © 2021 NHS Digital</w:t>
    </w:r>
    <w:r>
      <w:rPr>
        <w:color w:val="425563"/>
        <w:sz w:val="18"/>
        <w:szCs w:val="18"/>
      </w:rPr>
      <w:tab/>
    </w:r>
    <w:r>
      <w:rPr>
        <w:color w:val="425563"/>
        <w:sz w:val="18"/>
        <w:szCs w:val="18"/>
      </w:rPr>
      <w:fldChar w:fldCharType="begin"/>
    </w:r>
    <w:r>
      <w:rPr>
        <w:color w:val="425563"/>
        <w:sz w:val="18"/>
        <w:szCs w:val="18"/>
      </w:rPr>
      <w:instrText>PAGE</w:instrText>
    </w:r>
    <w:r>
      <w:rPr>
        <w:color w:val="425563"/>
        <w:sz w:val="18"/>
        <w:szCs w:val="18"/>
      </w:rPr>
      <w:fldChar w:fldCharType="separate"/>
    </w:r>
    <w:r w:rsidR="007B0FD5">
      <w:rPr>
        <w:noProof/>
        <w:color w:val="425563"/>
        <w:sz w:val="18"/>
        <w:szCs w:val="18"/>
      </w:rPr>
      <w:t>2</w:t>
    </w:r>
    <w:r>
      <w:rPr>
        <w:color w:val="425563"/>
        <w:sz w:val="18"/>
        <w:szCs w:val="18"/>
      </w:rPr>
      <w:fldChar w:fldCharType="end"/>
    </w:r>
  </w:p>
  <w:p w14:paraId="398393EB" w14:textId="77777777" w:rsidR="00F05B33" w:rsidRDefault="00F05B33">
    <w:pPr>
      <w:widowControl w:val="0"/>
      <w:pBdr>
        <w:top w:val="nil"/>
        <w:left w:val="nil"/>
        <w:bottom w:val="nil"/>
        <w:right w:val="nil"/>
        <w:between w:val="nil"/>
      </w:pBdr>
      <w:spacing w:after="0" w:line="276" w:lineRule="auto"/>
      <w:rPr>
        <w:color w:val="425563"/>
        <w:sz w:val="18"/>
        <w:szCs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3D83C5" w14:textId="77777777" w:rsidR="00F05B33" w:rsidRDefault="003B72E3">
    <w:pPr>
      <w:pBdr>
        <w:top w:val="nil"/>
        <w:left w:val="nil"/>
        <w:bottom w:val="nil"/>
        <w:right w:val="nil"/>
        <w:between w:val="nil"/>
      </w:pBdr>
      <w:tabs>
        <w:tab w:val="left" w:pos="426"/>
        <w:tab w:val="right" w:pos="9866"/>
      </w:tabs>
      <w:spacing w:after="0"/>
      <w:rPr>
        <w:color w:val="425563"/>
        <w:sz w:val="18"/>
        <w:szCs w:val="18"/>
      </w:rPr>
    </w:pPr>
    <w:r>
      <w:rPr>
        <w:color w:val="425563"/>
        <w:sz w:val="18"/>
        <w:szCs w:val="18"/>
      </w:rPr>
      <w:t xml:space="preserve"> </w:t>
    </w:r>
  </w:p>
  <w:p w14:paraId="7AF4F6B4" w14:textId="77777777" w:rsidR="00F05B33" w:rsidRDefault="00F05B33">
    <w:pPr>
      <w:pBdr>
        <w:top w:val="nil"/>
        <w:left w:val="nil"/>
        <w:bottom w:val="nil"/>
        <w:right w:val="nil"/>
        <w:between w:val="nil"/>
      </w:pBdr>
      <w:tabs>
        <w:tab w:val="left" w:pos="426"/>
        <w:tab w:val="right" w:pos="9866"/>
      </w:tabs>
      <w:spacing w:after="0"/>
      <w:rPr>
        <w:color w:val="425563"/>
        <w:sz w:val="18"/>
        <w:szCs w:val="18"/>
      </w:rPr>
    </w:pPr>
  </w:p>
  <w:p w14:paraId="22A944F0" w14:textId="77777777" w:rsidR="00F05B33" w:rsidRDefault="00F05B33">
    <w:pPr>
      <w:pBdr>
        <w:top w:val="nil"/>
        <w:left w:val="nil"/>
        <w:bottom w:val="nil"/>
        <w:right w:val="nil"/>
        <w:between w:val="nil"/>
      </w:pBdr>
      <w:tabs>
        <w:tab w:val="left" w:pos="426"/>
        <w:tab w:val="right" w:pos="9866"/>
      </w:tabs>
      <w:spacing w:after="0"/>
      <w:rPr>
        <w:color w:val="425563"/>
        <w:sz w:val="18"/>
        <w:szCs w:val="18"/>
      </w:rPr>
    </w:pPr>
  </w:p>
  <w:p w14:paraId="52C6743E" w14:textId="77777777" w:rsidR="00F05B33" w:rsidRDefault="00F05B33">
    <w:pPr>
      <w:pBdr>
        <w:top w:val="nil"/>
        <w:left w:val="nil"/>
        <w:bottom w:val="nil"/>
        <w:right w:val="nil"/>
        <w:between w:val="nil"/>
      </w:pBdr>
      <w:tabs>
        <w:tab w:val="left" w:pos="426"/>
        <w:tab w:val="right" w:pos="9866"/>
      </w:tabs>
      <w:spacing w:after="0"/>
      <w:rPr>
        <w:color w:val="425563"/>
        <w:sz w:val="18"/>
        <w:szCs w:val="18"/>
      </w:rPr>
    </w:pPr>
  </w:p>
  <w:p w14:paraId="22664C30" w14:textId="77777777" w:rsidR="00F05B33" w:rsidRDefault="00F05B33">
    <w:pPr>
      <w:pBdr>
        <w:top w:val="nil"/>
        <w:left w:val="nil"/>
        <w:bottom w:val="nil"/>
        <w:right w:val="nil"/>
        <w:between w:val="nil"/>
      </w:pBdr>
      <w:tabs>
        <w:tab w:val="left" w:pos="426"/>
        <w:tab w:val="right" w:pos="9866"/>
      </w:tabs>
      <w:spacing w:after="0"/>
      <w:rPr>
        <w:color w:val="425563"/>
        <w:sz w:val="18"/>
        <w:szCs w:val="18"/>
      </w:rPr>
    </w:pPr>
  </w:p>
  <w:p w14:paraId="498582DC" w14:textId="77777777" w:rsidR="00F05B33" w:rsidRDefault="00F05B33">
    <w:pPr>
      <w:pBdr>
        <w:top w:val="nil"/>
        <w:left w:val="nil"/>
        <w:bottom w:val="nil"/>
        <w:right w:val="nil"/>
        <w:between w:val="nil"/>
      </w:pBdr>
      <w:tabs>
        <w:tab w:val="left" w:pos="426"/>
        <w:tab w:val="right" w:pos="9866"/>
      </w:tabs>
      <w:spacing w:after="0"/>
      <w:rPr>
        <w:color w:val="425563"/>
        <w:sz w:val="18"/>
        <w:szCs w:val="18"/>
      </w:rPr>
    </w:pPr>
  </w:p>
  <w:p w14:paraId="21FA1F52" w14:textId="77777777" w:rsidR="00F05B33" w:rsidRDefault="00F05B33">
    <w:pPr>
      <w:pBdr>
        <w:top w:val="nil"/>
        <w:left w:val="nil"/>
        <w:bottom w:val="nil"/>
        <w:right w:val="nil"/>
        <w:between w:val="nil"/>
      </w:pBdr>
      <w:tabs>
        <w:tab w:val="left" w:pos="426"/>
        <w:tab w:val="right" w:pos="9866"/>
      </w:tabs>
      <w:spacing w:after="0"/>
      <w:rPr>
        <w:color w:val="425563"/>
        <w:sz w:val="18"/>
        <w:szCs w:val="18"/>
      </w:rPr>
    </w:pPr>
  </w:p>
  <w:p w14:paraId="139047C3" w14:textId="77777777" w:rsidR="00F05B33" w:rsidRDefault="003B72E3">
    <w:pPr>
      <w:pBdr>
        <w:top w:val="nil"/>
        <w:left w:val="nil"/>
        <w:bottom w:val="nil"/>
        <w:right w:val="nil"/>
        <w:between w:val="nil"/>
      </w:pBdr>
      <w:tabs>
        <w:tab w:val="left" w:pos="426"/>
        <w:tab w:val="right" w:pos="9866"/>
      </w:tabs>
      <w:spacing w:after="0"/>
      <w:rPr>
        <w:color w:val="425563"/>
        <w:sz w:val="18"/>
        <w:szCs w:val="18"/>
      </w:rPr>
    </w:pPr>
    <w:r>
      <w:rPr>
        <w:color w:val="425563"/>
        <w:sz w:val="18"/>
        <w:szCs w:val="18"/>
      </w:rPr>
      <w:t>Copyright © 2021 NHS Digital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33759D" w14:textId="77777777" w:rsidR="001D6EF2" w:rsidRDefault="001D6EF2">
      <w:pPr>
        <w:spacing w:after="0"/>
      </w:pPr>
      <w:r>
        <w:separator/>
      </w:r>
    </w:p>
  </w:footnote>
  <w:footnote w:type="continuationSeparator" w:id="0">
    <w:p w14:paraId="3596634C" w14:textId="77777777" w:rsidR="001D6EF2" w:rsidRDefault="001D6EF2">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3FDEF7" w14:textId="77777777" w:rsidR="00F05B33" w:rsidRDefault="003B72E3">
    <w:r>
      <w:t>3</w:t>
    </w:r>
  </w:p>
  <w:p w14:paraId="28597470" w14:textId="77777777" w:rsidR="00F05B33" w:rsidRDefault="00F05B33"/>
  <w:p w14:paraId="0AD4A3D7" w14:textId="77777777" w:rsidR="00F05B33" w:rsidRDefault="00F05B33"/>
  <w:p w14:paraId="1A9E1698" w14:textId="77777777" w:rsidR="00F05B33" w:rsidRDefault="00F05B33"/>
  <w:p w14:paraId="3DD5947E" w14:textId="77777777" w:rsidR="00F05B33" w:rsidRDefault="00F05B33"/>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4EAAAD" w14:textId="77777777" w:rsidR="00F05B33" w:rsidRDefault="003B72E3">
    <w:r>
      <w:rPr>
        <w:noProof/>
      </w:rPr>
      <w:drawing>
        <wp:anchor distT="0" distB="0" distL="0" distR="0" simplePos="0" relativeHeight="251658240" behindDoc="1" locked="0" layoutInCell="1" hidden="0" allowOverlap="1" wp14:anchorId="708F9E54" wp14:editId="50B9FB4B">
          <wp:simplePos x="0" y="0"/>
          <wp:positionH relativeFrom="column">
            <wp:posOffset>-831215</wp:posOffset>
          </wp:positionH>
          <wp:positionV relativeFrom="paragraph">
            <wp:posOffset>-388042</wp:posOffset>
          </wp:positionV>
          <wp:extent cx="7788944" cy="11009068"/>
          <wp:effectExtent l="0" t="0" r="0" b="0"/>
          <wp:wrapNone/>
          <wp:docPr id="15" name="image5.png" descr="A picture containing text&#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5.png" descr="A picture containing text&#10;&#10;Description automatically generated"/>
                  <pic:cNvPicPr preferRelativeResize="0"/>
                </pic:nvPicPr>
                <pic:blipFill>
                  <a:blip r:embed="rId1"/>
                  <a:srcRect/>
                  <a:stretch>
                    <a:fillRect/>
                  </a:stretch>
                </pic:blipFill>
                <pic:spPr>
                  <a:xfrm>
                    <a:off x="0" y="0"/>
                    <a:ext cx="7788944" cy="11009068"/>
                  </a:xfrm>
                  <a:prstGeom prst="rect">
                    <a:avLst/>
                  </a:prstGeom>
                  <a:ln/>
                </pic:spPr>
              </pic:pic>
            </a:graphicData>
          </a:graphic>
        </wp:anchor>
      </w:drawing>
    </w:r>
    <w:r>
      <w:rPr>
        <w:noProof/>
      </w:rPr>
      <w:drawing>
        <wp:anchor distT="0" distB="0" distL="0" distR="0" simplePos="0" relativeHeight="251659264" behindDoc="1" locked="0" layoutInCell="1" hidden="0" allowOverlap="1" wp14:anchorId="09EA52FA" wp14:editId="7D7DF56B">
          <wp:simplePos x="0" y="0"/>
          <wp:positionH relativeFrom="column">
            <wp:posOffset>5149215</wp:posOffset>
          </wp:positionH>
          <wp:positionV relativeFrom="paragraph">
            <wp:posOffset>-304350</wp:posOffset>
          </wp:positionV>
          <wp:extent cx="1755775" cy="1447800"/>
          <wp:effectExtent l="0" t="0" r="0" b="0"/>
          <wp:wrapNone/>
          <wp:docPr id="14" name="image4.png" descr="Logo&#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4.png" descr="Logo&#10;&#10;Description automatically generated"/>
                  <pic:cNvPicPr preferRelativeResize="0"/>
                </pic:nvPicPr>
                <pic:blipFill>
                  <a:blip r:embed="rId2"/>
                  <a:srcRect/>
                  <a:stretch>
                    <a:fillRect/>
                  </a:stretch>
                </pic:blipFill>
                <pic:spPr>
                  <a:xfrm>
                    <a:off x="0" y="0"/>
                    <a:ext cx="1755775" cy="1447800"/>
                  </a:xfrm>
                  <a:prstGeom prst="rect">
                    <a:avLst/>
                  </a:prstGeom>
                  <a:ln/>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C69356" w14:textId="77777777" w:rsidR="00F05B33" w:rsidRDefault="003B72E3">
    <w:pPr>
      <w:pBdr>
        <w:top w:val="nil"/>
        <w:left w:val="nil"/>
        <w:bottom w:val="single" w:sz="4" w:space="4" w:color="919EA8"/>
        <w:right w:val="nil"/>
        <w:between w:val="nil"/>
      </w:pBdr>
      <w:tabs>
        <w:tab w:val="left" w:pos="9639"/>
      </w:tabs>
      <w:spacing w:after="0"/>
      <w:rPr>
        <w:color w:val="425563"/>
        <w:sz w:val="20"/>
        <w:szCs w:val="20"/>
      </w:rPr>
    </w:pPr>
    <w:r>
      <w:rPr>
        <w:color w:val="425563"/>
        <w:sz w:val="20"/>
        <w:szCs w:val="20"/>
      </w:rPr>
      <w:t>Title of document</w:t>
    </w:r>
  </w:p>
  <w:p w14:paraId="5C0EF134" w14:textId="77777777" w:rsidR="00F05B33" w:rsidRDefault="003B72E3">
    <w:pPr>
      <w:tabs>
        <w:tab w:val="left" w:pos="2682"/>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71C0F25"/>
    <w:multiLevelType w:val="multilevel"/>
    <w:tmpl w:val="7D547C92"/>
    <w:lvl w:ilvl="0">
      <w:start w:val="1"/>
      <w:numFmt w:val="decimal"/>
      <w:pStyle w:val="Bulletlist"/>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31B81069"/>
    <w:multiLevelType w:val="multilevel"/>
    <w:tmpl w:val="7E5AB276"/>
    <w:lvl w:ilvl="0">
      <w:start w:val="1"/>
      <w:numFmt w:val="decimal"/>
      <w:pStyle w:val="Numberedlist"/>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49533EDB"/>
    <w:multiLevelType w:val="multilevel"/>
    <w:tmpl w:val="257A3A9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728146325">
    <w:abstractNumId w:val="0"/>
  </w:num>
  <w:num w:numId="2" w16cid:durableId="890730105">
    <w:abstractNumId w:val="2"/>
  </w:num>
  <w:num w:numId="3" w16cid:durableId="187846425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2"/>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05B33"/>
    <w:rsid w:val="000608A0"/>
    <w:rsid w:val="000A013E"/>
    <w:rsid w:val="000A273C"/>
    <w:rsid w:val="000B36E0"/>
    <w:rsid w:val="001D6EF2"/>
    <w:rsid w:val="001F36FE"/>
    <w:rsid w:val="002431A0"/>
    <w:rsid w:val="0025289E"/>
    <w:rsid w:val="00270B8E"/>
    <w:rsid w:val="00301A7A"/>
    <w:rsid w:val="003A6625"/>
    <w:rsid w:val="003B72E3"/>
    <w:rsid w:val="003F5E3A"/>
    <w:rsid w:val="004316AF"/>
    <w:rsid w:val="00452DE7"/>
    <w:rsid w:val="004626F9"/>
    <w:rsid w:val="00472FDE"/>
    <w:rsid w:val="004F7AD7"/>
    <w:rsid w:val="00523D36"/>
    <w:rsid w:val="0054263C"/>
    <w:rsid w:val="005A24F2"/>
    <w:rsid w:val="00612D42"/>
    <w:rsid w:val="0072121F"/>
    <w:rsid w:val="007507FE"/>
    <w:rsid w:val="007B0FD5"/>
    <w:rsid w:val="00836DD5"/>
    <w:rsid w:val="008629C2"/>
    <w:rsid w:val="00890593"/>
    <w:rsid w:val="008E40F7"/>
    <w:rsid w:val="00910EFE"/>
    <w:rsid w:val="00966FEA"/>
    <w:rsid w:val="009801FB"/>
    <w:rsid w:val="009C4C24"/>
    <w:rsid w:val="00A01751"/>
    <w:rsid w:val="00A464D1"/>
    <w:rsid w:val="00AF463A"/>
    <w:rsid w:val="00B6325A"/>
    <w:rsid w:val="00C04BC5"/>
    <w:rsid w:val="00C673C3"/>
    <w:rsid w:val="00C860CF"/>
    <w:rsid w:val="00CB3443"/>
    <w:rsid w:val="00CE052A"/>
    <w:rsid w:val="00CE13D3"/>
    <w:rsid w:val="00D750AE"/>
    <w:rsid w:val="00DA2A50"/>
    <w:rsid w:val="00DF750B"/>
    <w:rsid w:val="00F05B33"/>
    <w:rsid w:val="00F11841"/>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5351A5"/>
  <w15:docId w15:val="{BB9C3369-CEE9-4BB7-83EC-1DCBE9D9A5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color w:val="425563"/>
        <w:sz w:val="24"/>
        <w:szCs w:val="24"/>
        <w:lang w:val="en-GB" w:eastAsia="en-GB" w:bidi="ar-SA"/>
      </w:rPr>
    </w:rPrDefault>
    <w:pPrDefault>
      <w:pPr>
        <w:spacing w:after="14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55A3F"/>
    <w:pPr>
      <w:textboxTightWrap w:val="lastLineOnly"/>
    </w:pPr>
    <w:rPr>
      <w:color w:val="425563" w:themeColor="accent6"/>
    </w:rPr>
  </w:style>
  <w:style w:type="paragraph" w:styleId="Heading1">
    <w:name w:val="heading 1"/>
    <w:next w:val="Normal"/>
    <w:link w:val="Heading1Char"/>
    <w:uiPriority w:val="9"/>
    <w:qFormat/>
    <w:rsid w:val="00491977"/>
    <w:pPr>
      <w:keepNext/>
      <w:spacing w:after="180"/>
      <w:outlineLvl w:val="0"/>
    </w:pPr>
    <w:rPr>
      <w:b/>
      <w:bCs/>
      <w:color w:val="231F20" w:themeColor="background1"/>
      <w:spacing w:val="-14"/>
      <w:kern w:val="28"/>
      <w:sz w:val="42"/>
      <w:szCs w:val="32"/>
    </w:rPr>
  </w:style>
  <w:style w:type="paragraph" w:styleId="Heading2">
    <w:name w:val="heading 2"/>
    <w:next w:val="Normal"/>
    <w:link w:val="Heading2Char"/>
    <w:uiPriority w:val="9"/>
    <w:unhideWhenUsed/>
    <w:qFormat/>
    <w:rsid w:val="000005C7"/>
    <w:pPr>
      <w:keepNext/>
      <w:spacing w:before="60" w:after="120"/>
      <w:outlineLvl w:val="1"/>
    </w:pPr>
    <w:rPr>
      <w:rFonts w:eastAsia="MS Mincho"/>
      <w:b/>
      <w:color w:val="005EB8" w:themeColor="accent1"/>
      <w:spacing w:val="-6"/>
      <w:kern w:val="28"/>
      <w:sz w:val="36"/>
      <w:szCs w:val="28"/>
    </w:rPr>
  </w:style>
  <w:style w:type="paragraph" w:styleId="Heading3">
    <w:name w:val="heading 3"/>
    <w:basedOn w:val="Heading2"/>
    <w:next w:val="Normal"/>
    <w:link w:val="Heading3Char"/>
    <w:uiPriority w:val="9"/>
    <w:unhideWhenUsed/>
    <w:qFormat/>
    <w:rsid w:val="000005C7"/>
    <w:pPr>
      <w:outlineLvl w:val="2"/>
    </w:pPr>
    <w:rPr>
      <w:bCs/>
      <w:color w:val="231F20" w:themeColor="background1"/>
      <w:sz w:val="30"/>
      <w:szCs w:val="26"/>
    </w:rPr>
  </w:style>
  <w:style w:type="paragraph" w:styleId="Heading4">
    <w:name w:val="heading 4"/>
    <w:basedOn w:val="Normal"/>
    <w:next w:val="Normal"/>
    <w:link w:val="Heading4Char"/>
    <w:uiPriority w:val="9"/>
    <w:unhideWhenUsed/>
    <w:qFormat/>
    <w:rsid w:val="000005C7"/>
    <w:pPr>
      <w:keepNext/>
      <w:spacing w:before="60" w:after="60"/>
      <w:outlineLvl w:val="3"/>
    </w:pPr>
    <w:rPr>
      <w:b/>
      <w:szCs w:val="20"/>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character" w:customStyle="1" w:styleId="Heading2Char">
    <w:name w:val="Heading 2 Char"/>
    <w:basedOn w:val="DefaultParagraphFont"/>
    <w:link w:val="Heading2"/>
    <w:rsid w:val="000005C7"/>
    <w:rPr>
      <w:rFonts w:ascii="Arial" w:eastAsia="MS Mincho" w:hAnsi="Arial"/>
      <w:b/>
      <w:color w:val="005EB8" w:themeColor="accent1"/>
      <w:spacing w:val="-6"/>
      <w:kern w:val="28"/>
      <w:sz w:val="36"/>
      <w:szCs w:val="28"/>
    </w:rPr>
  </w:style>
  <w:style w:type="character" w:customStyle="1" w:styleId="Heading1Char">
    <w:name w:val="Heading 1 Char"/>
    <w:basedOn w:val="DefaultParagraphFont"/>
    <w:link w:val="Heading1"/>
    <w:rsid w:val="00491977"/>
    <w:rPr>
      <w:rFonts w:ascii="Arial" w:hAnsi="Arial" w:cs="Arial"/>
      <w:b/>
      <w:bCs/>
      <w:color w:val="231F20" w:themeColor="background1"/>
      <w:spacing w:val="-14"/>
      <w:kern w:val="28"/>
      <w:sz w:val="42"/>
      <w:szCs w:val="32"/>
    </w:rPr>
  </w:style>
  <w:style w:type="paragraph" w:styleId="ListParagraph">
    <w:name w:val="List Paragraph"/>
    <w:basedOn w:val="Normal"/>
    <w:link w:val="ListParagraphChar"/>
    <w:uiPriority w:val="34"/>
    <w:rsid w:val="00D93D0D"/>
    <w:pPr>
      <w:spacing w:after="180"/>
      <w:ind w:firstLine="360"/>
    </w:pPr>
  </w:style>
  <w:style w:type="character" w:customStyle="1" w:styleId="Heading3Char">
    <w:name w:val="Heading 3 Char"/>
    <w:basedOn w:val="DefaultParagraphFont"/>
    <w:link w:val="Heading3"/>
    <w:rsid w:val="000005C7"/>
    <w:rPr>
      <w:rFonts w:ascii="Arial" w:eastAsia="MS Mincho" w:hAnsi="Arial" w:cs="Arial"/>
      <w:b/>
      <w:bCs/>
      <w:color w:val="231F20" w:themeColor="background1"/>
      <w:spacing w:val="-6"/>
      <w:kern w:val="28"/>
      <w:sz w:val="30"/>
      <w:szCs w:val="26"/>
    </w:rPr>
  </w:style>
  <w:style w:type="paragraph" w:customStyle="1" w:styleId="Bulletlist">
    <w:name w:val="Bullet list"/>
    <w:basedOn w:val="ListParagraph"/>
    <w:link w:val="BulletlistChar"/>
    <w:qFormat/>
    <w:rsid w:val="00491977"/>
    <w:pPr>
      <w:numPr>
        <w:numId w:val="1"/>
      </w:numPr>
      <w:autoSpaceDE w:val="0"/>
      <w:autoSpaceDN w:val="0"/>
      <w:adjustRightInd w:val="0"/>
      <w:spacing w:after="140"/>
      <w:ind w:left="510" w:hanging="510"/>
      <w:textboxTightWrap w:val="none"/>
    </w:pPr>
    <w:rPr>
      <w:rFonts w:cs="FrutigerLTStd-Light"/>
      <w:szCs w:val="22"/>
    </w:rPr>
  </w:style>
  <w:style w:type="character" w:customStyle="1" w:styleId="BulletlistChar">
    <w:name w:val="Bullet list Char"/>
    <w:basedOn w:val="DefaultParagraphFont"/>
    <w:link w:val="Bulletlist"/>
    <w:rsid w:val="00491977"/>
    <w:rPr>
      <w:rFonts w:ascii="Arial" w:hAnsi="Arial" w:cs="FrutigerLTStd-Light"/>
      <w:color w:val="425563" w:themeColor="accent6"/>
      <w:sz w:val="24"/>
      <w:szCs w:val="22"/>
    </w:rPr>
  </w:style>
  <w:style w:type="paragraph" w:customStyle="1" w:styleId="Footnote-hanging">
    <w:name w:val="Footnote - hanging"/>
    <w:basedOn w:val="Bulletlist"/>
    <w:link w:val="Footnote-hangingChar"/>
    <w:qFormat/>
    <w:rsid w:val="000005C7"/>
    <w:pPr>
      <w:numPr>
        <w:numId w:val="0"/>
      </w:numPr>
      <w:tabs>
        <w:tab w:val="left" w:pos="284"/>
      </w:tabs>
      <w:spacing w:after="280"/>
      <w:ind w:left="284" w:hanging="284"/>
    </w:pPr>
    <w:rPr>
      <w:sz w:val="18"/>
      <w:szCs w:val="18"/>
    </w:rPr>
  </w:style>
  <w:style w:type="character" w:customStyle="1" w:styleId="Footnote-hangingChar">
    <w:name w:val="Footnote - hanging Char"/>
    <w:basedOn w:val="BulletlistChar"/>
    <w:link w:val="Footnote-hanging"/>
    <w:rsid w:val="000005C7"/>
    <w:rPr>
      <w:rFonts w:ascii="Arial" w:hAnsi="Arial" w:cs="FrutigerLTStd-Light"/>
      <w:color w:val="425563" w:themeColor="accent6"/>
      <w:sz w:val="18"/>
      <w:szCs w:val="18"/>
    </w:rPr>
  </w:style>
  <w:style w:type="character" w:customStyle="1" w:styleId="Heading4Char">
    <w:name w:val="Heading 4 Char"/>
    <w:basedOn w:val="DefaultParagraphFont"/>
    <w:link w:val="Heading4"/>
    <w:rsid w:val="000005C7"/>
    <w:rPr>
      <w:rFonts w:ascii="Arial" w:hAnsi="Arial"/>
      <w:b/>
      <w:color w:val="425563" w:themeColor="accent6"/>
      <w:sz w:val="24"/>
    </w:rPr>
  </w:style>
  <w:style w:type="character" w:styleId="Hyperlink">
    <w:name w:val="Hyperlink"/>
    <w:basedOn w:val="DefaultParagraphFont"/>
    <w:uiPriority w:val="99"/>
    <w:unhideWhenUsed/>
    <w:qFormat/>
    <w:rsid w:val="000005C7"/>
    <w:rPr>
      <w:rFonts w:asciiTheme="minorHAnsi" w:hAnsiTheme="minorHAnsi"/>
      <w:color w:val="005EB8" w:themeColor="accent1"/>
      <w:u w:val="none"/>
    </w:rPr>
  </w:style>
  <w:style w:type="paragraph" w:customStyle="1" w:styleId="Standfirst">
    <w:name w:val="Standfirst"/>
    <w:basedOn w:val="Normal"/>
    <w:link w:val="StandfirstChar"/>
    <w:qFormat/>
    <w:rsid w:val="00CE086C"/>
    <w:pPr>
      <w:spacing w:after="180" w:line="420" w:lineRule="atLeast"/>
    </w:pPr>
    <w:rPr>
      <w:b/>
      <w:spacing w:val="4"/>
      <w:kern w:val="28"/>
      <w:sz w:val="30"/>
      <w:szCs w:val="28"/>
    </w:rPr>
  </w:style>
  <w:style w:type="character" w:customStyle="1" w:styleId="StandfirstChar">
    <w:name w:val="Standfirst Char"/>
    <w:basedOn w:val="Heading4Char"/>
    <w:link w:val="Standfirst"/>
    <w:rsid w:val="00CE086C"/>
    <w:rPr>
      <w:rFonts w:ascii="Arial" w:hAnsi="Arial"/>
      <w:b/>
      <w:color w:val="425563" w:themeColor="accent6"/>
      <w:spacing w:val="4"/>
      <w:kern w:val="28"/>
      <w:sz w:val="30"/>
      <w:szCs w:val="28"/>
    </w:rPr>
  </w:style>
  <w:style w:type="paragraph" w:styleId="TOC1">
    <w:name w:val="toc 1"/>
    <w:basedOn w:val="Normal"/>
    <w:next w:val="Normal"/>
    <w:uiPriority w:val="39"/>
    <w:unhideWhenUsed/>
    <w:qFormat/>
    <w:rsid w:val="000005C7"/>
    <w:pPr>
      <w:pBdr>
        <w:top w:val="single" w:sz="4" w:space="4" w:color="D5DDE3" w:themeColor="accent6" w:themeTint="33"/>
        <w:bottom w:val="single" w:sz="4" w:space="4" w:color="D5DDE3" w:themeColor="accent6" w:themeTint="33"/>
      </w:pBdr>
      <w:tabs>
        <w:tab w:val="right" w:pos="9854"/>
      </w:tabs>
    </w:pPr>
    <w:rPr>
      <w:b/>
      <w:noProof/>
      <w:color w:val="231F20" w:themeColor="background1"/>
      <w:sz w:val="28"/>
    </w:rPr>
  </w:style>
  <w:style w:type="paragraph" w:styleId="TOCHeading">
    <w:name w:val="TOC Heading"/>
    <w:basedOn w:val="Heading1"/>
    <w:next w:val="Normal"/>
    <w:uiPriority w:val="39"/>
    <w:unhideWhenUsed/>
    <w:qFormat/>
    <w:rsid w:val="000C24AF"/>
    <w:pPr>
      <w:keepLines/>
      <w:spacing w:before="480" w:after="0" w:line="276" w:lineRule="auto"/>
      <w:outlineLvl w:val="9"/>
    </w:pPr>
    <w:rPr>
      <w:rFonts w:asciiTheme="majorHAnsi" w:eastAsiaTheme="majorEastAsia" w:hAnsiTheme="majorHAnsi" w:cstheme="majorBidi"/>
      <w:kern w:val="0"/>
      <w:sz w:val="28"/>
      <w:szCs w:val="28"/>
      <w:lang w:val="en-US" w:eastAsia="ja-JP"/>
    </w:rPr>
  </w:style>
  <w:style w:type="paragraph" w:customStyle="1" w:styleId="FrontpageTitle">
    <w:name w:val="Frontpage_Title"/>
    <w:basedOn w:val="Normal"/>
    <w:link w:val="FrontpageTitleChar"/>
    <w:qFormat/>
    <w:rsid w:val="000005C7"/>
    <w:rPr>
      <w:b/>
      <w:color w:val="231F20" w:themeColor="background1"/>
      <w:sz w:val="84"/>
      <w:szCs w:val="84"/>
    </w:rPr>
  </w:style>
  <w:style w:type="character" w:customStyle="1" w:styleId="FrontpageTitleChar">
    <w:name w:val="Frontpage_Title Char"/>
    <w:basedOn w:val="DefaultParagraphFont"/>
    <w:link w:val="FrontpageTitle"/>
    <w:rsid w:val="000005C7"/>
    <w:rPr>
      <w:rFonts w:ascii="Arial" w:hAnsi="Arial"/>
      <w:b/>
      <w:color w:val="231F20" w:themeColor="background1"/>
      <w:sz w:val="84"/>
      <w:szCs w:val="84"/>
    </w:rPr>
  </w:style>
  <w:style w:type="paragraph" w:customStyle="1" w:styleId="Frontpagesubhead">
    <w:name w:val="Frontpage_subhead"/>
    <w:basedOn w:val="Normal"/>
    <w:link w:val="FrontpagesubheadChar"/>
    <w:qFormat/>
    <w:rsid w:val="00491977"/>
    <w:rPr>
      <w:b/>
      <w:sz w:val="48"/>
      <w:szCs w:val="36"/>
    </w:rPr>
  </w:style>
  <w:style w:type="character" w:customStyle="1" w:styleId="FrontpagesubheadChar">
    <w:name w:val="Frontpage_subhead Char"/>
    <w:basedOn w:val="DefaultParagraphFont"/>
    <w:link w:val="Frontpagesubhead"/>
    <w:rsid w:val="00491977"/>
    <w:rPr>
      <w:rFonts w:ascii="Arial" w:hAnsi="Arial"/>
      <w:b/>
      <w:color w:val="425563" w:themeColor="accent6"/>
      <w:sz w:val="48"/>
      <w:szCs w:val="36"/>
    </w:rPr>
  </w:style>
  <w:style w:type="paragraph" w:customStyle="1" w:styleId="Footnoteseparator">
    <w:name w:val="Footnote_separator"/>
    <w:basedOn w:val="Heading3"/>
    <w:link w:val="FootnoteseparatorChar"/>
    <w:rsid w:val="000C24AF"/>
    <w:rPr>
      <w:noProof/>
      <w:w w:val="200"/>
      <w:sz w:val="16"/>
      <w:szCs w:val="16"/>
    </w:rPr>
  </w:style>
  <w:style w:type="character" w:customStyle="1" w:styleId="FootnoteseparatorChar">
    <w:name w:val="Footnote_separator Char"/>
    <w:basedOn w:val="Heading3Char"/>
    <w:link w:val="Footnoteseparator"/>
    <w:rsid w:val="000C24AF"/>
    <w:rPr>
      <w:rFonts w:ascii="Arial" w:eastAsia="MS Mincho" w:hAnsi="Arial" w:cs="Arial"/>
      <w:b/>
      <w:bCs/>
      <w:noProof/>
      <w:color w:val="005EB8" w:themeColor="accent1"/>
      <w:spacing w:val="-8"/>
      <w:w w:val="200"/>
      <w:kern w:val="28"/>
      <w:sz w:val="16"/>
      <w:szCs w:val="16"/>
    </w:rPr>
  </w:style>
  <w:style w:type="paragraph" w:customStyle="1" w:styleId="Numberedlist">
    <w:name w:val="Numbered list"/>
    <w:basedOn w:val="ListParagraph"/>
    <w:link w:val="NumberedlistChar"/>
    <w:qFormat/>
    <w:rsid w:val="000005C7"/>
    <w:pPr>
      <w:numPr>
        <w:numId w:val="3"/>
      </w:numPr>
      <w:spacing w:after="120"/>
      <w:ind w:left="510" w:hanging="510"/>
    </w:pPr>
  </w:style>
  <w:style w:type="character" w:customStyle="1" w:styleId="NumberedlistChar">
    <w:name w:val="Numbered list Char"/>
    <w:basedOn w:val="DefaultParagraphFont"/>
    <w:link w:val="Numberedlist"/>
    <w:rsid w:val="000005C7"/>
    <w:rPr>
      <w:rFonts w:ascii="Arial" w:hAnsi="Arial"/>
      <w:color w:val="425563" w:themeColor="accent6"/>
      <w:sz w:val="24"/>
      <w:szCs w:val="24"/>
    </w:rPr>
  </w:style>
  <w:style w:type="paragraph" w:styleId="TOC2">
    <w:name w:val="toc 2"/>
    <w:basedOn w:val="Normal"/>
    <w:next w:val="Normal"/>
    <w:uiPriority w:val="39"/>
    <w:unhideWhenUsed/>
    <w:qFormat/>
    <w:rsid w:val="000005C7"/>
    <w:pPr>
      <w:tabs>
        <w:tab w:val="right" w:pos="9854"/>
      </w:tabs>
      <w:spacing w:after="100"/>
      <w:ind w:left="220"/>
    </w:pPr>
    <w:rPr>
      <w:b/>
      <w:noProof/>
      <w:color w:val="005EB8" w:themeColor="accent1"/>
      <w:sz w:val="28"/>
    </w:rPr>
  </w:style>
  <w:style w:type="paragraph" w:styleId="TOC3">
    <w:name w:val="toc 3"/>
    <w:basedOn w:val="Normal"/>
    <w:next w:val="Normal"/>
    <w:autoRedefine/>
    <w:uiPriority w:val="39"/>
    <w:unhideWhenUsed/>
    <w:qFormat/>
    <w:rsid w:val="000C24AF"/>
    <w:pPr>
      <w:spacing w:after="100" w:line="276" w:lineRule="auto"/>
      <w:ind w:left="440"/>
      <w:textboxTightWrap w:val="none"/>
    </w:pPr>
    <w:rPr>
      <w:rFonts w:asciiTheme="minorHAnsi" w:eastAsiaTheme="minorEastAsia" w:hAnsiTheme="minorHAnsi" w:cstheme="minorBidi"/>
      <w:szCs w:val="22"/>
      <w:lang w:val="en-US" w:eastAsia="ja-JP"/>
    </w:rPr>
  </w:style>
  <w:style w:type="paragraph" w:styleId="Header">
    <w:name w:val="header"/>
    <w:basedOn w:val="Normal"/>
    <w:link w:val="HeaderChar"/>
    <w:uiPriority w:val="99"/>
    <w:unhideWhenUsed/>
    <w:qFormat/>
    <w:rsid w:val="000005C7"/>
    <w:pPr>
      <w:pBdr>
        <w:bottom w:val="single" w:sz="2" w:space="4" w:color="919EA8" w:themeColor="accent2"/>
      </w:pBdr>
      <w:tabs>
        <w:tab w:val="left" w:pos="9639"/>
      </w:tabs>
      <w:spacing w:after="0"/>
    </w:pPr>
    <w:rPr>
      <w:sz w:val="20"/>
    </w:rPr>
  </w:style>
  <w:style w:type="character" w:customStyle="1" w:styleId="HeaderChar">
    <w:name w:val="Header Char"/>
    <w:basedOn w:val="DefaultParagraphFont"/>
    <w:link w:val="Header"/>
    <w:uiPriority w:val="99"/>
    <w:rsid w:val="000005C7"/>
    <w:rPr>
      <w:rFonts w:ascii="Arial" w:hAnsi="Arial"/>
      <w:color w:val="425563" w:themeColor="accent6"/>
      <w:szCs w:val="24"/>
    </w:rPr>
  </w:style>
  <w:style w:type="paragraph" w:styleId="Footer">
    <w:name w:val="footer"/>
    <w:basedOn w:val="Normal"/>
    <w:link w:val="FooterChar"/>
    <w:uiPriority w:val="99"/>
    <w:unhideWhenUsed/>
    <w:qFormat/>
    <w:rsid w:val="000005C7"/>
    <w:pPr>
      <w:tabs>
        <w:tab w:val="left" w:pos="426"/>
        <w:tab w:val="right" w:pos="9866"/>
      </w:tabs>
      <w:spacing w:after="0"/>
    </w:pPr>
    <w:rPr>
      <w:spacing w:val="-4"/>
      <w:sz w:val="18"/>
    </w:rPr>
  </w:style>
  <w:style w:type="character" w:customStyle="1" w:styleId="FooterChar">
    <w:name w:val="Footer Char"/>
    <w:basedOn w:val="DefaultParagraphFont"/>
    <w:link w:val="Footer"/>
    <w:uiPriority w:val="99"/>
    <w:rsid w:val="000005C7"/>
    <w:rPr>
      <w:rFonts w:ascii="Arial" w:hAnsi="Arial"/>
      <w:color w:val="425563" w:themeColor="accent6"/>
      <w:spacing w:val="-4"/>
      <w:sz w:val="18"/>
      <w:szCs w:val="24"/>
    </w:rPr>
  </w:style>
  <w:style w:type="character" w:styleId="Strong">
    <w:name w:val="Strong"/>
    <w:aliases w:val="Bold"/>
    <w:qFormat/>
    <w:rsid w:val="000C24AF"/>
    <w:rPr>
      <w:rFonts w:asciiTheme="minorHAnsi" w:hAnsiTheme="minorHAnsi"/>
      <w:b/>
      <w:bCs/>
    </w:rPr>
  </w:style>
  <w:style w:type="paragraph" w:styleId="Quote">
    <w:name w:val="Quote"/>
    <w:basedOn w:val="Normal"/>
    <w:next w:val="Normal"/>
    <w:link w:val="QuoteChar"/>
    <w:uiPriority w:val="29"/>
    <w:qFormat/>
    <w:rsid w:val="000005C7"/>
    <w:pPr>
      <w:spacing w:before="70" w:after="70"/>
    </w:pPr>
    <w:rPr>
      <w:rFonts w:asciiTheme="minorHAnsi" w:hAnsiTheme="minorHAnsi"/>
      <w:b/>
      <w:i/>
      <w:iCs/>
      <w:sz w:val="30"/>
    </w:rPr>
  </w:style>
  <w:style w:type="character" w:customStyle="1" w:styleId="QuoteChar">
    <w:name w:val="Quote Char"/>
    <w:basedOn w:val="DefaultParagraphFont"/>
    <w:link w:val="Quote"/>
    <w:uiPriority w:val="29"/>
    <w:rsid w:val="000005C7"/>
    <w:rPr>
      <w:rFonts w:asciiTheme="minorHAnsi" w:hAnsiTheme="minorHAnsi"/>
      <w:b/>
      <w:i/>
      <w:iCs/>
      <w:color w:val="425563" w:themeColor="accent6"/>
      <w:sz w:val="30"/>
      <w:szCs w:val="24"/>
    </w:rPr>
  </w:style>
  <w:style w:type="character" w:customStyle="1" w:styleId="ListParagraphChar">
    <w:name w:val="List Paragraph Char"/>
    <w:basedOn w:val="DefaultParagraphFont"/>
    <w:link w:val="ListParagraph"/>
    <w:uiPriority w:val="34"/>
    <w:rsid w:val="001D243C"/>
    <w:rPr>
      <w:rFonts w:ascii="Arial" w:hAnsi="Arial"/>
      <w:sz w:val="24"/>
      <w:szCs w:val="24"/>
    </w:rPr>
  </w:style>
  <w:style w:type="character" w:styleId="FootnoteReference">
    <w:name w:val="footnote reference"/>
    <w:basedOn w:val="DefaultParagraphFont"/>
    <w:uiPriority w:val="99"/>
    <w:semiHidden/>
    <w:unhideWhenUsed/>
    <w:rsid w:val="001D243C"/>
    <w:rPr>
      <w:vertAlign w:val="superscript"/>
    </w:rPr>
  </w:style>
  <w:style w:type="paragraph" w:styleId="BalloonText">
    <w:name w:val="Balloon Text"/>
    <w:basedOn w:val="Normal"/>
    <w:link w:val="BalloonTextChar"/>
    <w:uiPriority w:val="99"/>
    <w:semiHidden/>
    <w:unhideWhenUsed/>
    <w:rsid w:val="003D3A4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3A42"/>
    <w:rPr>
      <w:rFonts w:ascii="Tahoma" w:hAnsi="Tahoma" w:cs="Tahoma"/>
      <w:sz w:val="16"/>
      <w:szCs w:val="16"/>
    </w:rPr>
  </w:style>
  <w:style w:type="character" w:styleId="PlaceholderText">
    <w:name w:val="Placeholder Text"/>
    <w:basedOn w:val="DefaultParagraphFont"/>
    <w:uiPriority w:val="99"/>
    <w:semiHidden/>
    <w:rsid w:val="00DD77F0"/>
    <w:rPr>
      <w:color w:val="808080"/>
    </w:rPr>
  </w:style>
  <w:style w:type="paragraph" w:customStyle="1" w:styleId="Publisheddate">
    <w:name w:val="Published date"/>
    <w:basedOn w:val="Heading4"/>
    <w:link w:val="PublisheddateChar"/>
    <w:qFormat/>
    <w:rsid w:val="00E5122E"/>
    <w:rPr>
      <w:b w:val="0"/>
      <w:sz w:val="30"/>
    </w:rPr>
  </w:style>
  <w:style w:type="character" w:customStyle="1" w:styleId="PublisheddateChar">
    <w:name w:val="Published date Char"/>
    <w:basedOn w:val="Heading4Char"/>
    <w:link w:val="Publisheddate"/>
    <w:rsid w:val="00E5122E"/>
    <w:rPr>
      <w:rFonts w:ascii="Arial" w:hAnsi="Arial"/>
      <w:b w:val="0"/>
      <w:color w:val="005EB8" w:themeColor="accent1"/>
      <w:sz w:val="30"/>
    </w:rPr>
  </w:style>
  <w:style w:type="table" w:styleId="TableGrid">
    <w:name w:val="Table Grid"/>
    <w:basedOn w:val="TableNormal"/>
    <w:rsid w:val="00C3706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TESpurpleChar">
    <w:name w:val="NOTES purple Char"/>
    <w:basedOn w:val="DefaultParagraphFont"/>
    <w:link w:val="NOTESpurple"/>
    <w:rsid w:val="00C37063"/>
    <w:rPr>
      <w:rFonts w:ascii="Arial" w:hAnsi="Arial" w:cs="Arial"/>
      <w:color w:val="602050"/>
      <w:sz w:val="24"/>
    </w:rPr>
  </w:style>
  <w:style w:type="paragraph" w:customStyle="1" w:styleId="NOTESpurple">
    <w:name w:val="NOTES purple"/>
    <w:basedOn w:val="Normal"/>
    <w:next w:val="Normal"/>
    <w:link w:val="NOTESpurpleChar"/>
    <w:rsid w:val="00C37063"/>
    <w:pPr>
      <w:tabs>
        <w:tab w:val="right" w:pos="14580"/>
      </w:tabs>
      <w:spacing w:after="120"/>
      <w:textboxTightWrap w:val="none"/>
    </w:pPr>
    <w:rPr>
      <w:color w:val="602050"/>
      <w:szCs w:val="20"/>
    </w:rPr>
  </w:style>
  <w:style w:type="paragraph" w:customStyle="1" w:styleId="Docmgmtheading">
    <w:name w:val="Doc mgmt heading"/>
    <w:basedOn w:val="Normal"/>
    <w:link w:val="DocmgmtheadingChar"/>
    <w:qFormat/>
    <w:rsid w:val="00C37063"/>
    <w:rPr>
      <w:b/>
      <w:color w:val="005EB8" w:themeColor="accent1"/>
      <w:sz w:val="42"/>
      <w:szCs w:val="42"/>
    </w:rPr>
  </w:style>
  <w:style w:type="character" w:customStyle="1" w:styleId="DocmgmtheadingChar">
    <w:name w:val="Doc mgmt heading Char"/>
    <w:basedOn w:val="DefaultParagraphFont"/>
    <w:link w:val="Docmgmtheading"/>
    <w:rsid w:val="00C37063"/>
    <w:rPr>
      <w:rFonts w:ascii="Arial" w:hAnsi="Arial"/>
      <w:b/>
      <w:color w:val="005EB8" w:themeColor="accent1"/>
      <w:sz w:val="42"/>
      <w:szCs w:val="4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Pr>
  </w:style>
  <w:style w:type="paragraph" w:styleId="TOC4">
    <w:name w:val="toc 4"/>
    <w:basedOn w:val="Normal"/>
    <w:next w:val="Normal"/>
    <w:autoRedefine/>
    <w:uiPriority w:val="39"/>
    <w:unhideWhenUsed/>
    <w:rsid w:val="00452DE7"/>
    <w:pPr>
      <w:spacing w:after="100"/>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NHSD-BRAND-NOV20">
  <a:themeElements>
    <a:clrScheme name="NHSD-REFRESH-NOV20-WORD">
      <a:dk1>
        <a:srgbClr val="FFFFFF"/>
      </a:dk1>
      <a:lt1>
        <a:srgbClr val="231F20"/>
      </a:lt1>
      <a:dk2>
        <a:srgbClr val="0072CE"/>
      </a:dk2>
      <a:lt2>
        <a:srgbClr val="E8EDEE"/>
      </a:lt2>
      <a:accent1>
        <a:srgbClr val="005EB8"/>
      </a:accent1>
      <a:accent2>
        <a:srgbClr val="919EA8"/>
      </a:accent2>
      <a:accent3>
        <a:srgbClr val="DDE1E4"/>
      </a:accent3>
      <a:accent4>
        <a:srgbClr val="003087"/>
      </a:accent4>
      <a:accent5>
        <a:srgbClr val="99C7EB"/>
      </a:accent5>
      <a:accent6>
        <a:srgbClr val="425563"/>
      </a:accent6>
      <a:hlink>
        <a:srgbClr val="005EB8"/>
      </a:hlink>
      <a:folHlink>
        <a:srgbClr val="003087"/>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NHSD-BRAND-NOV20" id="{EAEBF6B7-4A60-4CAF-B087-03F9A6CBC445}" vid="{A3467EB7-9383-4EF9-A506-FF1D5AD78A9C}"/>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bkD9iBJKhXNu/GonMQKWc4RTbBA==">AMUW2mV7hEEsfStQRpC9yeWsu4LPuFDvgLQfALzBHdCYI4QVvy0iVRCD5+qfwIALrxhrJd3RoYhHtfNX+ta416KEOMEE2DMQIA+8RvNBry3iONsHUmkUYeAi8hIFyaDT/Stkyj4lS1mZEn3FgC5Z3OJIpaihMu43awalliji6U3G4RQ1il+AklY=</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2244</Words>
  <Characters>12797</Characters>
  <Application>Microsoft Office Word</Application>
  <DocSecurity>0</DocSecurity>
  <Lines>106</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15011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Christine Hague</dc:creator>
  <cp:lastModifiedBy>Virginia Wilson</cp:lastModifiedBy>
  <cp:revision>2</cp:revision>
  <dcterms:created xsi:type="dcterms:W3CDTF">2022-06-21T11:50:00Z</dcterms:created>
  <dcterms:modified xsi:type="dcterms:W3CDTF">2022-06-21T11:50:00Z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0x010100F56AC1E539A90047BC30B3C9F7C85DBF009974B1B821AB36488BB2955A9F4B5285</vt:lpwstr>
  </property>
  <property fmtid="{D5CDD505-2E9C-101B-9397-08002B2CF9AE}" pid="3" name="_dlc_policyId">
    <vt:lpwstr>0x010100248FFECF8F0D554792D64B70CF7BF038|1875765322</vt:lpwstr>
  </property>
  <property fmtid="{D5CDD505-2E9C-101B-9397-08002B2CF9AE}" pid="4" name="ItemRetentionFormula">
    <vt:lpwstr>&lt;formula id="Microsoft.Office.RecordsManagement.PolicyFeatures.Expiration.Formula.BuiltIn"&gt;&lt;number&gt;3&lt;/number&gt;&lt;property&gt;AuthoredDate&lt;/property&gt;&lt;propertyId&gt;78342c6d-8801-441d-a333-a9f070617aff&lt;/propertyId&gt;&lt;period&gt;years&lt;/period&gt;&lt;/formula&gt;</vt:lpwstr>
  </property>
  <property fmtid="{D5CDD505-2E9C-101B-9397-08002B2CF9AE}" pid="5" name="InformationType">
    <vt:lpwstr>58;#Template|aff1a68b-1933-4dcf-8d00-314af96fd52f</vt:lpwstr>
  </property>
  <property fmtid="{D5CDD505-2E9C-101B-9397-08002B2CF9AE}" pid="6" name="PortfolioCode">
    <vt:lpwstr>1;#P0404/00 - Communications [Corporate Function-Digital Transformation - Beverley Bryant]|4d1365a3-4553-4328-b183-fb2da2713d14</vt:lpwstr>
  </property>
  <property fmtid="{D5CDD505-2E9C-101B-9397-08002B2CF9AE}" pid="7" name="_dlc_DocIdItemGuid">
    <vt:lpwstr>13d97daa-2833-411a-b25c-9df3c51fe350</vt:lpwstr>
  </property>
</Properties>
</file>