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270E" w14:textId="77777777" w:rsidR="00004D12" w:rsidRDefault="00004D12" w:rsidP="000D02AB">
      <w:pPr>
        <w:pStyle w:val="Title"/>
        <w:rPr>
          <w:rFonts w:cs="Arial"/>
        </w:rPr>
      </w:pPr>
    </w:p>
    <w:p w14:paraId="4890A6D8" w14:textId="77777777" w:rsidR="00004D12" w:rsidRDefault="00004D12" w:rsidP="000D02AB">
      <w:pPr>
        <w:pStyle w:val="Title"/>
        <w:rPr>
          <w:rFonts w:cs="Arial"/>
        </w:rPr>
      </w:pPr>
    </w:p>
    <w:p w14:paraId="5DF4FF72" w14:textId="4157CCAD" w:rsidR="009C6E31" w:rsidRPr="00BA7C2C" w:rsidRDefault="002B662F" w:rsidP="000D02AB">
      <w:pPr>
        <w:pStyle w:val="Title"/>
        <w:rPr>
          <w:rFonts w:cs="Arial"/>
          <w:color w:val="005EB8"/>
          <w:sz w:val="72"/>
          <w:szCs w:val="72"/>
        </w:rPr>
      </w:pPr>
      <w:r w:rsidRPr="00BA7C2C">
        <w:rPr>
          <w:rFonts w:cs="Arial"/>
          <w:color w:val="005EB8"/>
          <w:sz w:val="72"/>
          <w:szCs w:val="72"/>
        </w:rPr>
        <w:t>Patient Led Assessment</w:t>
      </w:r>
      <w:r w:rsidR="009C2504">
        <w:rPr>
          <w:rFonts w:cs="Arial"/>
          <w:color w:val="005EB8"/>
          <w:sz w:val="72"/>
          <w:szCs w:val="72"/>
        </w:rPr>
        <w:t>s</w:t>
      </w:r>
      <w:r w:rsidRPr="00BA7C2C">
        <w:rPr>
          <w:rFonts w:cs="Arial"/>
          <w:color w:val="005EB8"/>
          <w:sz w:val="72"/>
          <w:szCs w:val="72"/>
        </w:rPr>
        <w:t xml:space="preserve"> of the Care Environment</w:t>
      </w:r>
    </w:p>
    <w:p w14:paraId="17AE3338" w14:textId="77777777" w:rsidR="002B662F" w:rsidRPr="002B662F" w:rsidRDefault="002B662F" w:rsidP="002B662F"/>
    <w:p w14:paraId="4C8B5F3C" w14:textId="52ADB927" w:rsidR="009C6E31" w:rsidRPr="00134DF9" w:rsidRDefault="00134DF9" w:rsidP="00750F98">
      <w:pPr>
        <w:pStyle w:val="Title"/>
        <w:jc w:val="left"/>
        <w:rPr>
          <w:rFonts w:cs="Arial"/>
          <w:color w:val="005EB8"/>
        </w:rPr>
      </w:pPr>
      <w:r w:rsidRPr="00134DF9">
        <w:rPr>
          <w:rFonts w:cs="Arial"/>
          <w:color w:val="005EB8"/>
        </w:rPr>
        <w:t xml:space="preserve">Results calculation for </w:t>
      </w:r>
      <w:r w:rsidR="00765350">
        <w:rPr>
          <w:rFonts w:cs="Arial"/>
          <w:color w:val="005EB8"/>
        </w:rPr>
        <w:t xml:space="preserve">PLACE </w:t>
      </w:r>
      <w:r w:rsidRPr="00134DF9">
        <w:rPr>
          <w:rFonts w:cs="Arial"/>
          <w:color w:val="005EB8"/>
        </w:rPr>
        <w:t>20</w:t>
      </w:r>
      <w:r w:rsidR="00AF1C6C">
        <w:rPr>
          <w:rFonts w:cs="Arial"/>
          <w:color w:val="005EB8"/>
        </w:rPr>
        <w:t>2</w:t>
      </w:r>
      <w:r w:rsidR="005C5A3C">
        <w:rPr>
          <w:rFonts w:cs="Arial"/>
          <w:color w:val="005EB8"/>
        </w:rPr>
        <w:t>6</w:t>
      </w:r>
    </w:p>
    <w:p w14:paraId="3C301BD0" w14:textId="77777777" w:rsidR="00DB3CEB" w:rsidRDefault="00DB3CEB" w:rsidP="00B90446">
      <w:pPr>
        <w:rPr>
          <w:rFonts w:cs="Arial"/>
          <w:b/>
          <w:color w:val="auto"/>
          <w:sz w:val="28"/>
          <w:szCs w:val="28"/>
        </w:rPr>
      </w:pPr>
    </w:p>
    <w:p w14:paraId="01B40E7E" w14:textId="1B04E625" w:rsidR="00B90446" w:rsidRDefault="00683268" w:rsidP="00B90446">
      <w:pPr>
        <w:rPr>
          <w:rFonts w:cs="Arial"/>
          <w:b/>
          <w:color w:val="005EB8"/>
          <w:sz w:val="28"/>
          <w:szCs w:val="28"/>
        </w:rPr>
      </w:pPr>
      <w:r>
        <w:rPr>
          <w:rFonts w:cs="Arial"/>
          <w:b/>
          <w:color w:val="005EB8"/>
          <w:sz w:val="28"/>
          <w:szCs w:val="28"/>
        </w:rPr>
        <w:t>What are PLACE scores</w:t>
      </w:r>
      <w:r w:rsidR="00750F98">
        <w:rPr>
          <w:rFonts w:cs="Arial"/>
          <w:b/>
          <w:color w:val="005EB8"/>
          <w:sz w:val="28"/>
          <w:szCs w:val="28"/>
        </w:rPr>
        <w:t>?</w:t>
      </w:r>
    </w:p>
    <w:p w14:paraId="2CC36D6B" w14:textId="2602B3DF" w:rsidR="00683268" w:rsidRDefault="00683268" w:rsidP="00683268">
      <w:pPr>
        <w:pStyle w:val="BodyText2"/>
      </w:pPr>
      <w:r>
        <w:t xml:space="preserve">Patient Led Assessments of the Care Environment (PLACE) scores are presented as percentages, but the marks </w:t>
      </w:r>
      <w:r w:rsidR="00EB00A8">
        <w:t>allocated,</w:t>
      </w:r>
      <w:r>
        <w:t xml:space="preserve"> and the maximum possible marks</w:t>
      </w:r>
      <w:r w:rsidR="00EB00A8">
        <w:t>,</w:t>
      </w:r>
      <w:r>
        <w:t xml:space="preserve"> are also published. </w:t>
      </w:r>
    </w:p>
    <w:p w14:paraId="50BB3812" w14:textId="20EBD9E8" w:rsidR="00D3520E" w:rsidRDefault="00D3520E" w:rsidP="00683268">
      <w:pPr>
        <w:pStyle w:val="BodyText2"/>
      </w:pPr>
      <w:r>
        <w:t xml:space="preserve">The purpose of PLACE scores is to identify areas where improvements could be made, rather than for comparison of sites or year on year differences. It is intended that areas for inspection are rotated on an annual basis if the sites are sufficiently large so that over time every part is covered. </w:t>
      </w:r>
    </w:p>
    <w:p w14:paraId="7014DDE6" w14:textId="6723D842" w:rsidR="00775B2B" w:rsidRDefault="00D3520E" w:rsidP="00683268">
      <w:pPr>
        <w:pStyle w:val="BodyText2"/>
      </w:pPr>
      <w:r>
        <w:t>Due</w:t>
      </w:r>
      <w:r w:rsidR="00D27E3D">
        <w:t xml:space="preserve"> to the widely variable nature of healthcare environments, each site will answer a slightly different set of questions </w:t>
      </w:r>
      <w:r w:rsidR="00EB00A8">
        <w:t>depending on the type and number of facilities available, both in terms of number of scorecards filled out and questions responded to</w:t>
      </w:r>
      <w:r w:rsidR="00D27E3D">
        <w:t>.</w:t>
      </w:r>
      <w:r w:rsidR="00EB00A8">
        <w:t xml:space="preserve"> In addition, some questions have ‘not applicable’ options, and these will not count in the score calculation. Questions not answered do not count towards the maximum score that can be achieved, so the final percentage score is made on a different basis for every site and organisation.</w:t>
      </w:r>
      <w:r w:rsidR="00D27E3D">
        <w:t xml:space="preserve"> </w:t>
      </w:r>
    </w:p>
    <w:p w14:paraId="73E253DA" w14:textId="77777777" w:rsidR="00765350" w:rsidRDefault="00765350">
      <w:pPr>
        <w:spacing w:before="0" w:after="200" w:line="276" w:lineRule="auto"/>
        <w:rPr>
          <w:color w:val="231F20"/>
          <w:sz w:val="24"/>
          <w:szCs w:val="24"/>
        </w:rPr>
      </w:pPr>
      <w:r>
        <w:rPr>
          <w:color w:val="231F20"/>
          <w:sz w:val="24"/>
          <w:szCs w:val="24"/>
        </w:rPr>
        <w:br w:type="page"/>
      </w:r>
    </w:p>
    <w:p w14:paraId="7450D3CE" w14:textId="45E4C18F" w:rsidR="00775B2B" w:rsidRDefault="00775B2B" w:rsidP="00775B2B">
      <w:pPr>
        <w:rPr>
          <w:rFonts w:cs="Arial"/>
          <w:b/>
          <w:color w:val="005EB8"/>
          <w:sz w:val="28"/>
          <w:szCs w:val="28"/>
        </w:rPr>
      </w:pPr>
      <w:r>
        <w:rPr>
          <w:rFonts w:cs="Arial"/>
          <w:b/>
          <w:color w:val="005EB8"/>
          <w:sz w:val="28"/>
          <w:szCs w:val="28"/>
        </w:rPr>
        <w:lastRenderedPageBreak/>
        <w:t>Comparability of PLACE results</w:t>
      </w:r>
    </w:p>
    <w:p w14:paraId="6914CF24" w14:textId="1513D6AC" w:rsidR="00750F98" w:rsidRDefault="76DEAF25" w:rsidP="00433418">
      <w:pPr>
        <w:pStyle w:val="BodyText2"/>
      </w:pPr>
      <w:r w:rsidRPr="00636A41">
        <w:t>There were major changes in PLACE</w:t>
      </w:r>
      <w:r w:rsidR="00D27E3D" w:rsidRPr="00636A41">
        <w:t xml:space="preserve"> </w:t>
      </w:r>
      <w:r w:rsidR="04AF6707" w:rsidRPr="00636A41">
        <w:t>in</w:t>
      </w:r>
      <w:r w:rsidR="00D27E3D" w:rsidRPr="00636A41">
        <w:t xml:space="preserve"> the 2019 </w:t>
      </w:r>
      <w:r w:rsidR="5ECA3A06" w:rsidRPr="00636A41">
        <w:t xml:space="preserve">and 2026 </w:t>
      </w:r>
      <w:r w:rsidR="00D27E3D" w:rsidRPr="00636A41">
        <w:t>question set</w:t>
      </w:r>
      <w:r w:rsidR="010EF9C0" w:rsidRPr="00636A41">
        <w:t>s</w:t>
      </w:r>
      <w:r w:rsidR="00D27E3D" w:rsidRPr="00636A41">
        <w:t xml:space="preserve">, PLACE scores in </w:t>
      </w:r>
      <w:r w:rsidR="2B0455BD" w:rsidRPr="00636A41">
        <w:t xml:space="preserve">between </w:t>
      </w:r>
      <w:r w:rsidR="00D27E3D" w:rsidRPr="00636A41">
        <w:t>2019</w:t>
      </w:r>
      <w:r w:rsidR="00AF1C6C" w:rsidRPr="00636A41">
        <w:t xml:space="preserve"> and </w:t>
      </w:r>
      <w:r w:rsidR="77C89A54" w:rsidRPr="00636A41">
        <w:t xml:space="preserve">2025 are comparable but should </w:t>
      </w:r>
      <w:r w:rsidR="00D27E3D" w:rsidRPr="00636A41">
        <w:t xml:space="preserve">not </w:t>
      </w:r>
      <w:r w:rsidR="4C3C9365" w:rsidRPr="00636A41">
        <w:t xml:space="preserve">be </w:t>
      </w:r>
      <w:r w:rsidR="00D27E3D" w:rsidRPr="00636A41">
        <w:t>compar</w:t>
      </w:r>
      <w:r w:rsidR="194A9AF7" w:rsidRPr="00636A41">
        <w:t>ed</w:t>
      </w:r>
      <w:r w:rsidR="00D27E3D" w:rsidRPr="00636A41">
        <w:t xml:space="preserve"> </w:t>
      </w:r>
      <w:r w:rsidR="1D5FB2FF" w:rsidRPr="00636A41">
        <w:t>to pre-2019 results or results from 2026 or beyond</w:t>
      </w:r>
      <w:r w:rsidR="00D27E3D" w:rsidRPr="00636A41">
        <w:t>.</w:t>
      </w:r>
      <w:r w:rsidR="00433418">
        <w:t xml:space="preserve"> Care should be exercised if making comparisons with anything other than responses to individual questions as the wards, areas and questions included in </w:t>
      </w:r>
      <w:r w:rsidR="00BD7B98">
        <w:t>a PLACE</w:t>
      </w:r>
      <w:r w:rsidR="00433418">
        <w:t xml:space="preserve"> assessment may vary from year to year.</w:t>
      </w:r>
    </w:p>
    <w:p w14:paraId="6EC386A2" w14:textId="77777777" w:rsidR="00AB3640" w:rsidRPr="00BD7B98" w:rsidRDefault="00AB3640" w:rsidP="00433418">
      <w:pPr>
        <w:rPr>
          <w:rFonts w:cs="Arial"/>
          <w:b/>
          <w:color w:val="005EB8"/>
          <w:sz w:val="28"/>
          <w:szCs w:val="28"/>
        </w:rPr>
      </w:pPr>
    </w:p>
    <w:p w14:paraId="3EA815A9" w14:textId="005FBFE9" w:rsidR="00683268" w:rsidRDefault="00683268" w:rsidP="00433418">
      <w:pPr>
        <w:rPr>
          <w:rFonts w:cs="Arial"/>
          <w:b/>
          <w:color w:val="005EB8"/>
          <w:sz w:val="28"/>
          <w:szCs w:val="28"/>
        </w:rPr>
      </w:pPr>
      <w:r w:rsidRPr="00650035">
        <w:rPr>
          <w:rFonts w:cs="Arial"/>
          <w:b/>
          <w:color w:val="005EB8"/>
          <w:sz w:val="28"/>
          <w:szCs w:val="28"/>
        </w:rPr>
        <w:t>Scoring algorithm</w:t>
      </w:r>
    </w:p>
    <w:p w14:paraId="4F6A5E14" w14:textId="1730E918" w:rsidR="00683268" w:rsidRDefault="00D27E3D" w:rsidP="00683268">
      <w:pPr>
        <w:pStyle w:val="BodyText2"/>
      </w:pPr>
      <w:r>
        <w:t xml:space="preserve">There are different types of questions used in PLACE assessments: Pass/Fail; Pass/Qualified Pass/Fail; Yes/No; Multiple Choice (covered in the next section). </w:t>
      </w:r>
    </w:p>
    <w:p w14:paraId="4EA166EC" w14:textId="432691DF" w:rsidR="00683268" w:rsidRDefault="00683268" w:rsidP="00683268">
      <w:pPr>
        <w:pStyle w:val="BodyText2"/>
      </w:pPr>
      <w:r>
        <w:t xml:space="preserve">The allocation of scores is as follows: </w:t>
      </w:r>
    </w:p>
    <w:p w14:paraId="20F6407B" w14:textId="77777777" w:rsidR="00683268" w:rsidRDefault="00683268" w:rsidP="00683268">
      <w:pPr>
        <w:pStyle w:val="BodyText2"/>
        <w:spacing w:after="0"/>
      </w:pPr>
      <w:r>
        <w:t>Pass</w:t>
      </w:r>
      <w:r>
        <w:tab/>
        <w:t>= 2 points</w:t>
      </w:r>
    </w:p>
    <w:p w14:paraId="221472DF" w14:textId="51D880A8" w:rsidR="00683268" w:rsidRDefault="00D27E3D" w:rsidP="00683268">
      <w:pPr>
        <w:pStyle w:val="BodyText2"/>
        <w:spacing w:after="0"/>
      </w:pPr>
      <w:r>
        <w:t>(</w:t>
      </w:r>
      <w:r w:rsidR="00683268">
        <w:t>Qualified pass = 1 point</w:t>
      </w:r>
      <w:r>
        <w:t>)</w:t>
      </w:r>
    </w:p>
    <w:p w14:paraId="058793BB" w14:textId="77777777" w:rsidR="00683268" w:rsidRDefault="00683268" w:rsidP="00683268">
      <w:pPr>
        <w:pStyle w:val="BodyText2"/>
        <w:spacing w:after="0"/>
      </w:pPr>
      <w:r>
        <w:t>Fail</w:t>
      </w:r>
      <w:r>
        <w:tab/>
        <w:t>= 0 points</w:t>
      </w:r>
    </w:p>
    <w:p w14:paraId="3D3B21AF" w14:textId="77777777" w:rsidR="00683268" w:rsidRDefault="00683268" w:rsidP="00683268">
      <w:pPr>
        <w:pStyle w:val="BodyText2"/>
        <w:spacing w:after="0"/>
      </w:pPr>
    </w:p>
    <w:p w14:paraId="20880B9F" w14:textId="77777777" w:rsidR="00683268" w:rsidRDefault="00683268" w:rsidP="00683268">
      <w:pPr>
        <w:pStyle w:val="BodyText2"/>
        <w:spacing w:after="0"/>
      </w:pPr>
      <w:r>
        <w:t>Yes answers</w:t>
      </w:r>
      <w:r>
        <w:tab/>
        <w:t xml:space="preserve">= 2 points </w:t>
      </w:r>
    </w:p>
    <w:p w14:paraId="32AA96D0" w14:textId="77777777" w:rsidR="00D27E3D" w:rsidRDefault="00683268" w:rsidP="00683268">
      <w:pPr>
        <w:pStyle w:val="BodyText2"/>
      </w:pPr>
      <w:r>
        <w:t>No answers</w:t>
      </w:r>
      <w:r>
        <w:tab/>
        <w:t>= 0 points</w:t>
      </w:r>
    </w:p>
    <w:p w14:paraId="1443391A" w14:textId="0B0B852E" w:rsidR="00683268" w:rsidRDefault="00683268" w:rsidP="00683268">
      <w:pPr>
        <w:pStyle w:val="BodyText2"/>
      </w:pPr>
      <w:r>
        <w:t xml:space="preserve">Questions that are not applicable to the </w:t>
      </w:r>
      <w:r w:rsidR="00941D68">
        <w:t xml:space="preserve">assessed </w:t>
      </w:r>
      <w:r>
        <w:t>healthcare environment are not scored, i.e. they don’t count towards the total possible points.</w:t>
      </w:r>
    </w:p>
    <w:p w14:paraId="0AB355A2" w14:textId="51FD98F1" w:rsidR="00BD1E15" w:rsidRDefault="00BD1E15" w:rsidP="00683268">
      <w:pPr>
        <w:pStyle w:val="BodyText2"/>
      </w:pPr>
      <w:r>
        <w:t>Some questions are not scored</w:t>
      </w:r>
      <w:r w:rsidR="00947AB0">
        <w:t xml:space="preserve"> for </w:t>
      </w:r>
      <w:r w:rsidR="00941D68">
        <w:t>other</w:t>
      </w:r>
      <w:r w:rsidR="00947AB0">
        <w:t xml:space="preserve"> reasons, for example, being only for information to define </w:t>
      </w:r>
      <w:r w:rsidR="00365906">
        <w:t xml:space="preserve">which following </w:t>
      </w:r>
      <w:r w:rsidR="0051418D">
        <w:t>questions</w:t>
      </w:r>
      <w:r w:rsidR="00365906">
        <w:t xml:space="preserve"> are applicable</w:t>
      </w:r>
      <w:r w:rsidR="0051418D">
        <w:t>.</w:t>
      </w:r>
    </w:p>
    <w:p w14:paraId="34E332DB" w14:textId="77777777" w:rsidR="00683268" w:rsidRPr="00650035" w:rsidRDefault="00683268" w:rsidP="00B90446">
      <w:pPr>
        <w:rPr>
          <w:rFonts w:cs="Arial"/>
          <w:b/>
          <w:color w:val="005EB8"/>
          <w:sz w:val="28"/>
          <w:szCs w:val="28"/>
        </w:rPr>
      </w:pPr>
    </w:p>
    <w:p w14:paraId="485871B5" w14:textId="054D1311" w:rsidR="00B90446" w:rsidRPr="0046276D" w:rsidRDefault="00650035" w:rsidP="00650035">
      <w:pPr>
        <w:rPr>
          <w:rFonts w:cs="Arial"/>
          <w:b/>
          <w:i/>
          <w:iCs/>
          <w:color w:val="005EB8"/>
          <w:sz w:val="28"/>
          <w:szCs w:val="28"/>
        </w:rPr>
      </w:pPr>
      <w:r w:rsidRPr="0046276D">
        <w:rPr>
          <w:rFonts w:cs="Arial"/>
          <w:b/>
          <w:i/>
          <w:iCs/>
          <w:color w:val="005EB8"/>
          <w:sz w:val="28"/>
          <w:szCs w:val="28"/>
        </w:rPr>
        <w:t>Multiple choice questions</w:t>
      </w:r>
    </w:p>
    <w:p w14:paraId="6EA63C95" w14:textId="77777777" w:rsidR="00683268" w:rsidRDefault="00683268" w:rsidP="00683268">
      <w:pPr>
        <w:pStyle w:val="BodyText2"/>
      </w:pPr>
      <w:r>
        <w:t>In all cases the top score is 2 and the bottom score is 0.</w:t>
      </w:r>
    </w:p>
    <w:p w14:paraId="78E119C3" w14:textId="3CA95156" w:rsidR="00683268" w:rsidRDefault="00683268" w:rsidP="009B0DD8">
      <w:pPr>
        <w:spacing w:before="0" w:after="280" w:line="360" w:lineRule="atLeast"/>
        <w:rPr>
          <w:color w:val="231F20"/>
          <w:sz w:val="24"/>
          <w:szCs w:val="24"/>
        </w:rPr>
      </w:pPr>
      <w:r>
        <w:t xml:space="preserve">Scores for intermediate points on the scale depend on the number of options. </w:t>
      </w:r>
      <w:r w:rsidR="00D27E3D" w:rsidRPr="00D27E3D">
        <w:rPr>
          <w:color w:val="231F20"/>
          <w:sz w:val="24"/>
          <w:szCs w:val="24"/>
        </w:rPr>
        <w:t xml:space="preserve">Usually </w:t>
      </w:r>
      <w:r w:rsidR="00D27E3D">
        <w:rPr>
          <w:color w:val="231F20"/>
          <w:sz w:val="24"/>
          <w:szCs w:val="24"/>
        </w:rPr>
        <w:t xml:space="preserve">there are equal divisions but for a very small number of questions where there is </w:t>
      </w:r>
      <w:r w:rsidR="001F73D0">
        <w:rPr>
          <w:color w:val="231F20"/>
          <w:sz w:val="24"/>
          <w:szCs w:val="24"/>
        </w:rPr>
        <w:t xml:space="preserve">unequal divisions or some options may have the same score </w:t>
      </w:r>
      <w:r w:rsidR="00D27E3D">
        <w:rPr>
          <w:color w:val="231F20"/>
          <w:sz w:val="24"/>
          <w:szCs w:val="24"/>
        </w:rPr>
        <w:t>(e.g. two zeros for equally undesirable options, or two middle scores). In this case, the scores for the other questions are spread equally across the remaining points.</w:t>
      </w:r>
    </w:p>
    <w:p w14:paraId="4F6DD355" w14:textId="77777777" w:rsidR="0046276D" w:rsidRDefault="0046276D" w:rsidP="00650035">
      <w:pPr>
        <w:rPr>
          <w:rFonts w:cs="Arial"/>
          <w:b/>
          <w:color w:val="005EB8"/>
          <w:sz w:val="28"/>
          <w:szCs w:val="28"/>
        </w:rPr>
      </w:pPr>
    </w:p>
    <w:p w14:paraId="24D09A5E" w14:textId="32C4CED5" w:rsidR="00650035" w:rsidRDefault="00650035" w:rsidP="00650035">
      <w:pPr>
        <w:rPr>
          <w:rFonts w:cs="Arial"/>
          <w:b/>
          <w:color w:val="005EB8"/>
          <w:sz w:val="28"/>
          <w:szCs w:val="28"/>
        </w:rPr>
      </w:pPr>
      <w:r>
        <w:rPr>
          <w:rFonts w:cs="Arial"/>
          <w:b/>
          <w:color w:val="005EB8"/>
          <w:sz w:val="28"/>
          <w:szCs w:val="28"/>
        </w:rPr>
        <w:lastRenderedPageBreak/>
        <w:t xml:space="preserve">Scoring </w:t>
      </w:r>
      <w:r w:rsidR="00545FAA">
        <w:rPr>
          <w:rFonts w:cs="Arial"/>
          <w:b/>
          <w:color w:val="005EB8"/>
          <w:sz w:val="28"/>
          <w:szCs w:val="28"/>
        </w:rPr>
        <w:t>results</w:t>
      </w:r>
      <w:r>
        <w:rPr>
          <w:rFonts w:cs="Arial"/>
          <w:b/>
          <w:color w:val="005EB8"/>
          <w:sz w:val="28"/>
          <w:szCs w:val="28"/>
        </w:rPr>
        <w:t xml:space="preserve"> by domain</w:t>
      </w:r>
    </w:p>
    <w:p w14:paraId="4B49125A" w14:textId="70043EB1" w:rsidR="00650035" w:rsidRDefault="00D3520E" w:rsidP="009B0DD8">
      <w:pPr>
        <w:spacing w:before="0" w:after="280" w:line="360" w:lineRule="atLeast"/>
        <w:rPr>
          <w:color w:val="231F20"/>
          <w:sz w:val="24"/>
          <w:szCs w:val="24"/>
        </w:rPr>
      </w:pPr>
      <w:r w:rsidRPr="7C3CA9B6">
        <w:rPr>
          <w:color w:val="231F20"/>
          <w:sz w:val="24"/>
          <w:szCs w:val="24"/>
        </w:rPr>
        <w:t xml:space="preserve">The </w:t>
      </w:r>
      <w:r w:rsidR="00545FAA" w:rsidRPr="7C3CA9B6">
        <w:rPr>
          <w:color w:val="231F20"/>
          <w:sz w:val="24"/>
          <w:szCs w:val="24"/>
        </w:rPr>
        <w:t>results</w:t>
      </w:r>
      <w:r w:rsidRPr="7C3CA9B6">
        <w:rPr>
          <w:color w:val="231F20"/>
          <w:sz w:val="24"/>
          <w:szCs w:val="24"/>
        </w:rPr>
        <w:t xml:space="preserve"> at site level for each of the six categories or ‘domains’ (cleanliness; condition, appearance</w:t>
      </w:r>
      <w:r w:rsidR="00445886" w:rsidRPr="7C3CA9B6">
        <w:rPr>
          <w:color w:val="231F20"/>
          <w:sz w:val="24"/>
          <w:szCs w:val="24"/>
        </w:rPr>
        <w:t>,</w:t>
      </w:r>
      <w:r w:rsidRPr="7C3CA9B6">
        <w:rPr>
          <w:color w:val="231F20"/>
          <w:sz w:val="24"/>
          <w:szCs w:val="24"/>
        </w:rPr>
        <w:t xml:space="preserve"> and maintenance; </w:t>
      </w:r>
      <w:r w:rsidRPr="001F73D0">
        <w:rPr>
          <w:color w:val="231F20"/>
          <w:sz w:val="24"/>
          <w:szCs w:val="24"/>
        </w:rPr>
        <w:t>privacy, dignity</w:t>
      </w:r>
      <w:r w:rsidR="00445886" w:rsidRPr="001F73D0">
        <w:rPr>
          <w:color w:val="231F20"/>
          <w:sz w:val="24"/>
          <w:szCs w:val="24"/>
        </w:rPr>
        <w:t>,</w:t>
      </w:r>
      <w:r w:rsidRPr="001F73D0">
        <w:rPr>
          <w:color w:val="231F20"/>
          <w:sz w:val="24"/>
          <w:szCs w:val="24"/>
        </w:rPr>
        <w:t xml:space="preserve"> and wellbeing</w:t>
      </w:r>
      <w:r w:rsidR="00E9713A" w:rsidRPr="001F73D0">
        <w:rPr>
          <w:color w:val="231F20"/>
          <w:sz w:val="24"/>
          <w:szCs w:val="24"/>
        </w:rPr>
        <w:t xml:space="preserve"> – supportive environments</w:t>
      </w:r>
      <w:r w:rsidRPr="001F73D0">
        <w:rPr>
          <w:color w:val="231F20"/>
          <w:sz w:val="24"/>
          <w:szCs w:val="24"/>
        </w:rPr>
        <w:t>; food and hydration; dementia</w:t>
      </w:r>
      <w:r w:rsidR="00471D79" w:rsidRPr="001F73D0">
        <w:rPr>
          <w:color w:val="231F20"/>
          <w:sz w:val="24"/>
          <w:szCs w:val="24"/>
        </w:rPr>
        <w:t>-friendly environments</w:t>
      </w:r>
      <w:r w:rsidRPr="001F73D0">
        <w:rPr>
          <w:color w:val="231F20"/>
          <w:sz w:val="24"/>
          <w:szCs w:val="24"/>
        </w:rPr>
        <w:t>; disability</w:t>
      </w:r>
      <w:r w:rsidR="00471D79" w:rsidRPr="001F73D0">
        <w:rPr>
          <w:color w:val="231F20"/>
          <w:sz w:val="24"/>
          <w:szCs w:val="24"/>
        </w:rPr>
        <w:t>-supportive environments</w:t>
      </w:r>
      <w:r w:rsidRPr="7C3CA9B6">
        <w:rPr>
          <w:color w:val="231F20"/>
          <w:sz w:val="24"/>
          <w:szCs w:val="24"/>
        </w:rPr>
        <w:t xml:space="preserve">) are expressed as a percentage score. </w:t>
      </w:r>
      <w:r w:rsidR="003F724B" w:rsidRPr="7C3CA9B6">
        <w:rPr>
          <w:color w:val="231F20"/>
          <w:sz w:val="24"/>
          <w:szCs w:val="24"/>
        </w:rPr>
        <w:t xml:space="preserve">The food scores are broken down </w:t>
      </w:r>
      <w:r w:rsidR="003F724B" w:rsidRPr="007C5939">
        <w:rPr>
          <w:color w:val="231F20"/>
          <w:sz w:val="24"/>
          <w:szCs w:val="24"/>
        </w:rPr>
        <w:t>into organisational food</w:t>
      </w:r>
      <w:r w:rsidR="007C5939" w:rsidRPr="007C5939">
        <w:rPr>
          <w:color w:val="231F20"/>
          <w:sz w:val="24"/>
          <w:szCs w:val="24"/>
        </w:rPr>
        <w:t>, food service</w:t>
      </w:r>
      <w:r w:rsidR="003F724B" w:rsidRPr="007C5939">
        <w:rPr>
          <w:color w:val="231F20"/>
          <w:sz w:val="24"/>
          <w:szCs w:val="24"/>
        </w:rPr>
        <w:t xml:space="preserve"> and ward food (and in combination make up the food domain).</w:t>
      </w:r>
    </w:p>
    <w:p w14:paraId="58E044DF" w14:textId="2449DC89" w:rsidR="00D3520E" w:rsidRDefault="00D3520E" w:rsidP="009B0DD8">
      <w:pPr>
        <w:spacing w:before="0" w:after="280" w:line="360" w:lineRule="atLeast"/>
        <w:rPr>
          <w:color w:val="231F20"/>
          <w:sz w:val="24"/>
          <w:szCs w:val="24"/>
        </w:rPr>
      </w:pPr>
      <w:r>
        <w:rPr>
          <w:color w:val="231F20"/>
          <w:sz w:val="24"/>
          <w:szCs w:val="24"/>
        </w:rPr>
        <w:t>The percentage is calculated by reference to the score achieved expressed as a percentage of the maximum possible score for that site</w:t>
      </w:r>
      <w:r w:rsidR="004E5269">
        <w:rPr>
          <w:color w:val="231F20"/>
          <w:sz w:val="24"/>
          <w:szCs w:val="24"/>
        </w:rPr>
        <w:t xml:space="preserve"> and domain combination</w:t>
      </w:r>
      <w:r>
        <w:rPr>
          <w:color w:val="231F20"/>
          <w:sz w:val="24"/>
          <w:szCs w:val="24"/>
        </w:rPr>
        <w:t>. The denominator for the calculation (the maximum possible score) will be different for each site, depending on the number of questions answered in total. The maximum possible score is the total number of boxes in which a response has been entered (excluding ‘not applicable responses and non-scoring questions) multiplied by 2 (2 being the maximum score for each question).</w:t>
      </w:r>
    </w:p>
    <w:p w14:paraId="3C4D1DC2" w14:textId="00074DD5" w:rsidR="00D3520E" w:rsidRDefault="00D3520E" w:rsidP="009B0DD8">
      <w:pPr>
        <w:spacing w:before="0" w:after="280" w:line="360" w:lineRule="atLeast"/>
        <w:rPr>
          <w:color w:val="231F20"/>
          <w:sz w:val="24"/>
          <w:szCs w:val="24"/>
        </w:rPr>
      </w:pPr>
      <w:r>
        <w:rPr>
          <w:color w:val="231F20"/>
          <w:sz w:val="24"/>
          <w:szCs w:val="24"/>
        </w:rPr>
        <w:t>The online data collection system allocates each question response to the appropriate domain category / categories and calculates the score accordingly – rounding only once where the final score ends in a fraction.</w:t>
      </w:r>
    </w:p>
    <w:p w14:paraId="33419E86" w14:textId="77777777" w:rsidR="00D3520E" w:rsidRPr="00D3520E" w:rsidRDefault="00D3520E" w:rsidP="00650035">
      <w:pPr>
        <w:rPr>
          <w:color w:val="231F20"/>
          <w:sz w:val="24"/>
          <w:szCs w:val="24"/>
        </w:rPr>
      </w:pPr>
    </w:p>
    <w:p w14:paraId="6B5154BA" w14:textId="710428BC" w:rsidR="00D3520E" w:rsidRPr="00D3520E" w:rsidRDefault="00D3520E" w:rsidP="00D3520E">
      <w:pPr>
        <w:rPr>
          <w:rFonts w:cs="Arial"/>
          <w:b/>
          <w:color w:val="005EB8"/>
          <w:sz w:val="28"/>
          <w:szCs w:val="28"/>
        </w:rPr>
      </w:pPr>
      <w:r w:rsidRPr="00D3520E">
        <w:rPr>
          <w:rFonts w:cs="Arial"/>
          <w:b/>
          <w:color w:val="005EB8"/>
          <w:sz w:val="28"/>
          <w:szCs w:val="28"/>
        </w:rPr>
        <w:t>Overall results</w:t>
      </w:r>
    </w:p>
    <w:p w14:paraId="479B98A0" w14:textId="33BC6E15" w:rsidR="00D3520E" w:rsidRDefault="00D3520E" w:rsidP="009B0DD8">
      <w:pPr>
        <w:spacing w:before="0" w:after="280" w:line="360" w:lineRule="atLeast"/>
        <w:rPr>
          <w:color w:val="231F20"/>
          <w:sz w:val="24"/>
          <w:szCs w:val="24"/>
        </w:rPr>
      </w:pPr>
      <w:r>
        <w:rPr>
          <w:color w:val="231F20"/>
          <w:sz w:val="24"/>
          <w:szCs w:val="24"/>
        </w:rPr>
        <w:t>Scores are presented at site, organisation, site type and national level. Calculation of scores at organisation, site type and national level involves weighting the site scores by the number of beds.</w:t>
      </w:r>
    </w:p>
    <w:p w14:paraId="0E99C7CF" w14:textId="6EF90C37" w:rsidR="00D83CF6" w:rsidRDefault="00D83CF6" w:rsidP="009B0DD8">
      <w:pPr>
        <w:spacing w:before="0" w:after="280" w:line="360" w:lineRule="atLeast"/>
        <w:rPr>
          <w:color w:val="231F20"/>
          <w:sz w:val="24"/>
          <w:szCs w:val="24"/>
        </w:rPr>
      </w:pPr>
      <w:r w:rsidRPr="00D83CF6">
        <w:rPr>
          <w:noProof/>
          <w:color w:val="231F20"/>
          <w:sz w:val="24"/>
          <w:szCs w:val="24"/>
        </w:rPr>
        <w:drawing>
          <wp:inline distT="0" distB="0" distL="0" distR="0" wp14:anchorId="63568055" wp14:editId="000D63CF">
            <wp:extent cx="4162567" cy="762000"/>
            <wp:effectExtent l="0" t="0" r="9525" b="0"/>
            <wp:docPr id="1323513430"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513430" name="Picture 1" descr="A close up of a text&#10;&#10;Description automatically generated"/>
                    <pic:cNvPicPr/>
                  </pic:nvPicPr>
                  <pic:blipFill>
                    <a:blip r:embed="rId11"/>
                    <a:stretch>
                      <a:fillRect/>
                    </a:stretch>
                  </pic:blipFill>
                  <pic:spPr>
                    <a:xfrm>
                      <a:off x="0" y="0"/>
                      <a:ext cx="4164473" cy="762349"/>
                    </a:xfrm>
                    <a:prstGeom prst="rect">
                      <a:avLst/>
                    </a:prstGeom>
                  </pic:spPr>
                </pic:pic>
              </a:graphicData>
            </a:graphic>
          </wp:inline>
        </w:drawing>
      </w:r>
    </w:p>
    <w:p w14:paraId="67F54C60" w14:textId="64382741" w:rsidR="00D3520E" w:rsidRPr="00471D79" w:rsidRDefault="00D3520E" w:rsidP="00471D79">
      <w:pPr>
        <w:rPr>
          <w:rFonts w:cs="Arial"/>
          <w:b/>
          <w:color w:val="005EB8"/>
          <w:sz w:val="28"/>
          <w:szCs w:val="28"/>
        </w:rPr>
      </w:pPr>
      <w:r w:rsidRPr="00471D79">
        <w:rPr>
          <w:rFonts w:cs="Arial"/>
          <w:b/>
          <w:color w:val="005EB8"/>
          <w:sz w:val="28"/>
          <w:szCs w:val="28"/>
        </w:rPr>
        <w:t>Scoring allocation by domain</w:t>
      </w:r>
    </w:p>
    <w:p w14:paraId="5F860037" w14:textId="12A377F0" w:rsidR="008858AE" w:rsidRPr="00682B88" w:rsidRDefault="00471D79" w:rsidP="00682B88">
      <w:pPr>
        <w:rPr>
          <w:sz w:val="24"/>
          <w:szCs w:val="24"/>
        </w:rPr>
      </w:pPr>
      <w:r w:rsidRPr="00DD4B02">
        <w:rPr>
          <w:color w:val="231F20"/>
          <w:sz w:val="24"/>
          <w:szCs w:val="24"/>
        </w:rPr>
        <w:t>The information</w:t>
      </w:r>
      <w:r w:rsidR="4E2BC6D0" w:rsidRPr="00DD4B02">
        <w:rPr>
          <w:color w:val="231F20"/>
          <w:sz w:val="24"/>
          <w:szCs w:val="24"/>
        </w:rPr>
        <w:t xml:space="preserve"> showing</w:t>
      </w:r>
      <w:r w:rsidRPr="00DD4B02">
        <w:rPr>
          <w:color w:val="231F20"/>
          <w:sz w:val="24"/>
          <w:szCs w:val="24"/>
        </w:rPr>
        <w:t xml:space="preserve"> </w:t>
      </w:r>
      <w:r w:rsidR="0046276D" w:rsidRPr="00DD4B02">
        <w:rPr>
          <w:color w:val="231F20"/>
          <w:sz w:val="24"/>
          <w:szCs w:val="24"/>
        </w:rPr>
        <w:t>which questions score towards each domain, together with their location (form, scorecard</w:t>
      </w:r>
      <w:r w:rsidR="00445886" w:rsidRPr="00DD4B02">
        <w:rPr>
          <w:color w:val="231F20"/>
          <w:sz w:val="24"/>
          <w:szCs w:val="24"/>
        </w:rPr>
        <w:t>,</w:t>
      </w:r>
      <w:r w:rsidR="0046276D" w:rsidRPr="00DD4B02">
        <w:rPr>
          <w:color w:val="231F20"/>
          <w:sz w:val="24"/>
          <w:szCs w:val="24"/>
        </w:rPr>
        <w:t xml:space="preserve"> and section, if applicable)</w:t>
      </w:r>
      <w:r w:rsidR="51399115" w:rsidRPr="00DD4B02">
        <w:rPr>
          <w:color w:val="231F20"/>
          <w:sz w:val="24"/>
          <w:szCs w:val="24"/>
        </w:rPr>
        <w:t xml:space="preserve"> can be found</w:t>
      </w:r>
      <w:r w:rsidR="00DD4B02">
        <w:rPr>
          <w:color w:val="231F20"/>
          <w:sz w:val="24"/>
          <w:szCs w:val="24"/>
        </w:rPr>
        <w:t xml:space="preserve"> on the EFM system</w:t>
      </w:r>
      <w:r w:rsidR="0046276D" w:rsidRPr="00DD4B02">
        <w:rPr>
          <w:color w:val="231F20"/>
          <w:sz w:val="24"/>
          <w:szCs w:val="24"/>
        </w:rPr>
        <w:t>. Note that</w:t>
      </w:r>
      <w:r w:rsidR="0046276D" w:rsidRPr="7C3CA9B6">
        <w:rPr>
          <w:color w:val="231F20"/>
          <w:sz w:val="24"/>
          <w:szCs w:val="24"/>
        </w:rPr>
        <w:t xml:space="preserve"> the ‘Patient Assessment Summary Sheet’ form, the ‘Ward first impression’ and the ‘Ward last impression’ sections in various forms do not have any scoring questions.  </w:t>
      </w:r>
    </w:p>
    <w:p w14:paraId="51C84E3F" w14:textId="0C6EAF6A" w:rsidR="00BA7C2C" w:rsidRPr="004C7065" w:rsidRDefault="00A87533" w:rsidP="00BA7C2C">
      <w:pPr>
        <w:rPr>
          <w:rFonts w:cs="Arial"/>
          <w:b/>
          <w:color w:val="005EB8"/>
          <w:sz w:val="28"/>
          <w:szCs w:val="28"/>
          <w:lang w:val="pt-PT"/>
        </w:rPr>
      </w:pPr>
      <w:r w:rsidRPr="004C7065">
        <w:rPr>
          <w:rFonts w:cs="Arial"/>
          <w:b/>
          <w:color w:val="005EB8"/>
          <w:sz w:val="28"/>
          <w:szCs w:val="28"/>
          <w:lang w:val="pt-PT"/>
        </w:rPr>
        <w:t>Contact us:</w:t>
      </w:r>
    </w:p>
    <w:p w14:paraId="6CE771C0" w14:textId="1F7C2325" w:rsidR="0076686D" w:rsidRPr="00DD4B02" w:rsidRDefault="007B187E" w:rsidP="00DD4B02">
      <w:pPr>
        <w:pStyle w:val="BodyText2"/>
      </w:pPr>
      <w:hyperlink r:id="rId12" w:history="1">
        <w:r>
          <w:rPr>
            <w:rStyle w:val="Hyperlink"/>
            <w:rFonts w:cs="Arial"/>
          </w:rPr>
          <w:t>NHS Customer Portal</w:t>
        </w:r>
      </w:hyperlink>
      <w:r w:rsidR="00004D12" w:rsidRPr="00682B88">
        <w:t xml:space="preserve"> </w:t>
      </w:r>
    </w:p>
    <w:sectPr w:rsidR="0076686D" w:rsidRPr="00DD4B02" w:rsidSect="00DF4ED5">
      <w:footerReference w:type="default" r:id="rId13"/>
      <w:headerReference w:type="first" r:id="rId14"/>
      <w:footerReference w:type="first" r:id="rId15"/>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901DB" w14:textId="77777777" w:rsidR="00D116F1" w:rsidRDefault="00D116F1" w:rsidP="003D6948">
      <w:pPr>
        <w:spacing w:before="0" w:after="0"/>
      </w:pPr>
      <w:r>
        <w:separator/>
      </w:r>
    </w:p>
  </w:endnote>
  <w:endnote w:type="continuationSeparator" w:id="0">
    <w:p w14:paraId="217FD4FB" w14:textId="77777777" w:rsidR="00D116F1" w:rsidRDefault="00D116F1" w:rsidP="003D69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234B" w14:textId="77777777" w:rsidR="003D6948" w:rsidRPr="00DF4ED5" w:rsidRDefault="003D6948">
    <w:pPr>
      <w:pStyle w:val="Footer"/>
      <w:jc w:val="right"/>
      <w:rPr>
        <w:color w:val="1F497D" w:themeColor="text2"/>
      </w:rPr>
    </w:pPr>
    <w:r w:rsidRPr="00DF4ED5">
      <w:rPr>
        <w:color w:val="1F497D" w:themeColor="text2"/>
      </w:rPr>
      <w:t xml:space="preserve">Page </w:t>
    </w:r>
    <w:sdt>
      <w:sdtPr>
        <w:rPr>
          <w:color w:val="1F497D" w:themeColor="text2"/>
        </w:rPr>
        <w:id w:val="-1378235704"/>
        <w:docPartObj>
          <w:docPartGallery w:val="Page Numbers (Bottom of Page)"/>
          <w:docPartUnique/>
        </w:docPartObj>
      </w:sdtPr>
      <w:sdtEndPr>
        <w:rPr>
          <w:noProof/>
        </w:rPr>
      </w:sdtEndPr>
      <w:sdtContent>
        <w:r w:rsidRPr="00DF4ED5">
          <w:rPr>
            <w:color w:val="1F497D" w:themeColor="text2"/>
          </w:rPr>
          <w:fldChar w:fldCharType="begin"/>
        </w:r>
        <w:r w:rsidRPr="00DF4ED5">
          <w:rPr>
            <w:color w:val="1F497D" w:themeColor="text2"/>
          </w:rPr>
          <w:instrText xml:space="preserve"> PAGE   \* MERGEFORMAT </w:instrText>
        </w:r>
        <w:r w:rsidRPr="00DF4ED5">
          <w:rPr>
            <w:color w:val="1F497D" w:themeColor="text2"/>
          </w:rPr>
          <w:fldChar w:fldCharType="separate"/>
        </w:r>
        <w:r w:rsidR="00C86BE0">
          <w:rPr>
            <w:noProof/>
            <w:color w:val="1F497D" w:themeColor="text2"/>
          </w:rPr>
          <w:t>6</w:t>
        </w:r>
        <w:r w:rsidRPr="00DF4ED5">
          <w:rPr>
            <w:noProof/>
            <w:color w:val="1F497D" w:themeColor="text2"/>
          </w:rPr>
          <w:fldChar w:fldCharType="end"/>
        </w:r>
      </w:sdtContent>
    </w:sdt>
  </w:p>
  <w:p w14:paraId="0027C446" w14:textId="77777777" w:rsidR="003D6948" w:rsidRPr="00DF4ED5" w:rsidRDefault="003D6948">
    <w:pPr>
      <w:pStyle w:val="Footer"/>
      <w:rPr>
        <w:color w:val="1F497D" w:themeColor="text2"/>
      </w:rPr>
    </w:pPr>
    <w:r w:rsidRPr="00DF4ED5">
      <w:rPr>
        <w:color w:val="1F497D" w:themeColor="text2"/>
      </w:rPr>
      <w:t>Patient Led Assessment of the Care Environment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6A79" w14:textId="77777777" w:rsidR="003D6948" w:rsidRPr="00DF4ED5" w:rsidRDefault="003D6948">
    <w:pPr>
      <w:pStyle w:val="Footer"/>
      <w:rPr>
        <w:color w:val="1F497D" w:themeColor="text2"/>
      </w:rPr>
    </w:pPr>
    <w:r w:rsidRPr="00DF4ED5">
      <w:rPr>
        <w:color w:val="1F497D" w:themeColor="text2"/>
      </w:rPr>
      <w:t>Patient Led Assessment of the Care Environment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986A3" w14:textId="77777777" w:rsidR="00D116F1" w:rsidRDefault="00D116F1" w:rsidP="003D6948">
      <w:pPr>
        <w:spacing w:before="0" w:after="0"/>
      </w:pPr>
      <w:r>
        <w:separator/>
      </w:r>
    </w:p>
  </w:footnote>
  <w:footnote w:type="continuationSeparator" w:id="0">
    <w:p w14:paraId="38D3E37B" w14:textId="77777777" w:rsidR="00D116F1" w:rsidRDefault="00D116F1" w:rsidP="003D694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D0E3" w14:textId="5D85E6F1" w:rsidR="002B55DE" w:rsidRDefault="009B0DD8">
    <w:pPr>
      <w:pStyle w:val="Header"/>
    </w:pPr>
    <w:r>
      <w:ptab w:relativeTo="margin" w:alignment="center" w:leader="none"/>
    </w:r>
    <w:r>
      <w:ptab w:relativeTo="margin" w:alignment="right" w:leader="none"/>
    </w:r>
    <w:r>
      <w:rPr>
        <w:noProof/>
      </w:rPr>
      <w:drawing>
        <wp:inline distT="0" distB="0" distL="0" distR="0" wp14:anchorId="46077CB6" wp14:editId="28483ADE">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B1C18"/>
    <w:multiLevelType w:val="hybridMultilevel"/>
    <w:tmpl w:val="FB243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72118D"/>
    <w:multiLevelType w:val="hybridMultilevel"/>
    <w:tmpl w:val="222EA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A7553D"/>
    <w:multiLevelType w:val="hybridMultilevel"/>
    <w:tmpl w:val="F810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C35413"/>
    <w:multiLevelType w:val="hybridMultilevel"/>
    <w:tmpl w:val="36C44784"/>
    <w:lvl w:ilvl="0" w:tplc="56C4EE88">
      <w:numFmt w:val="bullet"/>
      <w:lvlText w:val="-"/>
      <w:lvlJc w:val="left"/>
      <w:pPr>
        <w:ind w:left="1211" w:hanging="360"/>
      </w:pPr>
      <w:rPr>
        <w:rFonts w:ascii="Arial" w:eastAsiaTheme="minorHAnsi" w:hAnsi="Arial" w:cs="Arial" w:hint="default"/>
        <w:b w:val="0"/>
        <w:color w:val="231F20"/>
        <w:sz w:val="24"/>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6D812FD8"/>
    <w:multiLevelType w:val="multilevel"/>
    <w:tmpl w:val="CE424934"/>
    <w:lvl w:ilvl="0">
      <w:start w:val="1"/>
      <w:numFmt w:val="bullet"/>
      <w:pStyle w:val="ListBullet"/>
      <w:lvlText w:val="•"/>
      <w:lvlJc w:val="left"/>
      <w:pPr>
        <w:tabs>
          <w:tab w:val="num" w:pos="567"/>
        </w:tabs>
        <w:ind w:left="567" w:hanging="284"/>
      </w:pPr>
      <w:rPr>
        <w:rFonts w:ascii="Arial" w:hAnsi="Arial" w:cs="Times New Roman" w:hint="default"/>
        <w:color w:val="005EB8"/>
        <w:sz w:val="32"/>
      </w:rPr>
    </w:lvl>
    <w:lvl w:ilvl="1">
      <w:start w:val="1"/>
      <w:numFmt w:val="bullet"/>
      <w:pStyle w:val="LastBullet2"/>
      <w:lvlText w:val="–"/>
      <w:lvlJc w:val="left"/>
      <w:pPr>
        <w:tabs>
          <w:tab w:val="num" w:pos="1134"/>
        </w:tabs>
        <w:ind w:left="1134" w:hanging="283"/>
      </w:pPr>
      <w:rPr>
        <w:rFonts w:ascii="Arial" w:hAnsi="Arial" w:cs="Times New Roman" w:hint="default"/>
        <w:color w:val="005EB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8800638"/>
    <w:multiLevelType w:val="hybridMultilevel"/>
    <w:tmpl w:val="6CA6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3198099">
    <w:abstractNumId w:val="1"/>
  </w:num>
  <w:num w:numId="2" w16cid:durableId="875778918">
    <w:abstractNumId w:val="2"/>
  </w:num>
  <w:num w:numId="3" w16cid:durableId="78507891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25643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4165783">
    <w:abstractNumId w:val="3"/>
  </w:num>
  <w:num w:numId="6" w16cid:durableId="74483696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1430036">
    <w:abstractNumId w:val="6"/>
  </w:num>
  <w:num w:numId="8" w16cid:durableId="755514560">
    <w:abstractNumId w:val="0"/>
  </w:num>
  <w:num w:numId="9" w16cid:durableId="203915827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0125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31"/>
    <w:rsid w:val="0000076B"/>
    <w:rsid w:val="00002F1B"/>
    <w:rsid w:val="00004D12"/>
    <w:rsid w:val="000354DC"/>
    <w:rsid w:val="00045EB7"/>
    <w:rsid w:val="00055064"/>
    <w:rsid w:val="00057FA7"/>
    <w:rsid w:val="00064864"/>
    <w:rsid w:val="0009604D"/>
    <w:rsid w:val="000D02AB"/>
    <w:rsid w:val="000E030E"/>
    <w:rsid w:val="00100040"/>
    <w:rsid w:val="0011701A"/>
    <w:rsid w:val="00134DF9"/>
    <w:rsid w:val="00163D19"/>
    <w:rsid w:val="00164597"/>
    <w:rsid w:val="00167DE9"/>
    <w:rsid w:val="001C4ADF"/>
    <w:rsid w:val="001F73D0"/>
    <w:rsid w:val="00230C22"/>
    <w:rsid w:val="00241C98"/>
    <w:rsid w:val="002655D2"/>
    <w:rsid w:val="002717B2"/>
    <w:rsid w:val="0028575A"/>
    <w:rsid w:val="002B4622"/>
    <w:rsid w:val="002B55DE"/>
    <w:rsid w:val="002B662F"/>
    <w:rsid w:val="003170EC"/>
    <w:rsid w:val="003243DF"/>
    <w:rsid w:val="003415F6"/>
    <w:rsid w:val="00344EDF"/>
    <w:rsid w:val="00365906"/>
    <w:rsid w:val="00387AED"/>
    <w:rsid w:val="003A7617"/>
    <w:rsid w:val="003B0920"/>
    <w:rsid w:val="003B2A1C"/>
    <w:rsid w:val="003C2582"/>
    <w:rsid w:val="003D67CB"/>
    <w:rsid w:val="003D6948"/>
    <w:rsid w:val="003F724B"/>
    <w:rsid w:val="003F7B51"/>
    <w:rsid w:val="004060E2"/>
    <w:rsid w:val="00414FB2"/>
    <w:rsid w:val="00417F23"/>
    <w:rsid w:val="00433418"/>
    <w:rsid w:val="00437867"/>
    <w:rsid w:val="00443D33"/>
    <w:rsid w:val="00445886"/>
    <w:rsid w:val="004568E3"/>
    <w:rsid w:val="0046276D"/>
    <w:rsid w:val="00471D79"/>
    <w:rsid w:val="004C7065"/>
    <w:rsid w:val="004E5269"/>
    <w:rsid w:val="004F5812"/>
    <w:rsid w:val="005129F4"/>
    <w:rsid w:val="0051418D"/>
    <w:rsid w:val="00523B4D"/>
    <w:rsid w:val="0054443C"/>
    <w:rsid w:val="00545FAA"/>
    <w:rsid w:val="0056147A"/>
    <w:rsid w:val="00590243"/>
    <w:rsid w:val="005B17F4"/>
    <w:rsid w:val="005B6938"/>
    <w:rsid w:val="005C4930"/>
    <w:rsid w:val="005C5A3C"/>
    <w:rsid w:val="006343A8"/>
    <w:rsid w:val="00636A41"/>
    <w:rsid w:val="006462D7"/>
    <w:rsid w:val="00650035"/>
    <w:rsid w:val="00667681"/>
    <w:rsid w:val="00682B88"/>
    <w:rsid w:val="00683268"/>
    <w:rsid w:val="006977CB"/>
    <w:rsid w:val="006A5B85"/>
    <w:rsid w:val="006C0637"/>
    <w:rsid w:val="006F0516"/>
    <w:rsid w:val="00721121"/>
    <w:rsid w:val="00750F98"/>
    <w:rsid w:val="00765350"/>
    <w:rsid w:val="0076686D"/>
    <w:rsid w:val="00772668"/>
    <w:rsid w:val="00775B2B"/>
    <w:rsid w:val="00782D7E"/>
    <w:rsid w:val="007A59EF"/>
    <w:rsid w:val="007B187E"/>
    <w:rsid w:val="007C2835"/>
    <w:rsid w:val="007C5939"/>
    <w:rsid w:val="007D5D6B"/>
    <w:rsid w:val="007E42D5"/>
    <w:rsid w:val="00807CAA"/>
    <w:rsid w:val="00826B9A"/>
    <w:rsid w:val="008569C2"/>
    <w:rsid w:val="008713F3"/>
    <w:rsid w:val="008858AE"/>
    <w:rsid w:val="008A79F0"/>
    <w:rsid w:val="008B285B"/>
    <w:rsid w:val="008B6DD9"/>
    <w:rsid w:val="008E5C5D"/>
    <w:rsid w:val="008E657A"/>
    <w:rsid w:val="008F3F6E"/>
    <w:rsid w:val="00902FDB"/>
    <w:rsid w:val="00912125"/>
    <w:rsid w:val="009126C4"/>
    <w:rsid w:val="0091278D"/>
    <w:rsid w:val="0092023F"/>
    <w:rsid w:val="009360E1"/>
    <w:rsid w:val="00941D68"/>
    <w:rsid w:val="0094213E"/>
    <w:rsid w:val="00947AB0"/>
    <w:rsid w:val="00963324"/>
    <w:rsid w:val="00966884"/>
    <w:rsid w:val="009B0DD8"/>
    <w:rsid w:val="009C2504"/>
    <w:rsid w:val="009C6E31"/>
    <w:rsid w:val="009D1904"/>
    <w:rsid w:val="009D27BC"/>
    <w:rsid w:val="009E1C2C"/>
    <w:rsid w:val="009E372A"/>
    <w:rsid w:val="009F6912"/>
    <w:rsid w:val="00A005E0"/>
    <w:rsid w:val="00A11B6D"/>
    <w:rsid w:val="00A370FE"/>
    <w:rsid w:val="00A42ED4"/>
    <w:rsid w:val="00A43BC2"/>
    <w:rsid w:val="00A52379"/>
    <w:rsid w:val="00A66AD5"/>
    <w:rsid w:val="00A87533"/>
    <w:rsid w:val="00AA3BA0"/>
    <w:rsid w:val="00AB3640"/>
    <w:rsid w:val="00AC2546"/>
    <w:rsid w:val="00AF1C6C"/>
    <w:rsid w:val="00B52524"/>
    <w:rsid w:val="00B90446"/>
    <w:rsid w:val="00B9374D"/>
    <w:rsid w:val="00BA606C"/>
    <w:rsid w:val="00BA79CD"/>
    <w:rsid w:val="00BA7C2C"/>
    <w:rsid w:val="00BD1E15"/>
    <w:rsid w:val="00BD2AD1"/>
    <w:rsid w:val="00BD63C2"/>
    <w:rsid w:val="00BD7B98"/>
    <w:rsid w:val="00BE167F"/>
    <w:rsid w:val="00C1401E"/>
    <w:rsid w:val="00C25193"/>
    <w:rsid w:val="00C263AD"/>
    <w:rsid w:val="00C266F7"/>
    <w:rsid w:val="00C4253E"/>
    <w:rsid w:val="00C801A6"/>
    <w:rsid w:val="00C86BE0"/>
    <w:rsid w:val="00CA5E3E"/>
    <w:rsid w:val="00CC4354"/>
    <w:rsid w:val="00CC4A51"/>
    <w:rsid w:val="00CD7246"/>
    <w:rsid w:val="00CE66E8"/>
    <w:rsid w:val="00CF0981"/>
    <w:rsid w:val="00D116F1"/>
    <w:rsid w:val="00D16C9A"/>
    <w:rsid w:val="00D250B4"/>
    <w:rsid w:val="00D27E3D"/>
    <w:rsid w:val="00D3520E"/>
    <w:rsid w:val="00D74042"/>
    <w:rsid w:val="00D83CF6"/>
    <w:rsid w:val="00DA6606"/>
    <w:rsid w:val="00DB3CEB"/>
    <w:rsid w:val="00DB57CE"/>
    <w:rsid w:val="00DD4B02"/>
    <w:rsid w:val="00DF4ED5"/>
    <w:rsid w:val="00E02C2B"/>
    <w:rsid w:val="00E37AF6"/>
    <w:rsid w:val="00E7774E"/>
    <w:rsid w:val="00E77FB5"/>
    <w:rsid w:val="00E847F6"/>
    <w:rsid w:val="00E853E4"/>
    <w:rsid w:val="00E9713A"/>
    <w:rsid w:val="00EB00A8"/>
    <w:rsid w:val="00ED193B"/>
    <w:rsid w:val="00EE7EB9"/>
    <w:rsid w:val="00EF5EAC"/>
    <w:rsid w:val="00F45619"/>
    <w:rsid w:val="00F46B7C"/>
    <w:rsid w:val="00F860E5"/>
    <w:rsid w:val="00F940E7"/>
    <w:rsid w:val="00FA72D7"/>
    <w:rsid w:val="00FC53E0"/>
    <w:rsid w:val="00FD1490"/>
    <w:rsid w:val="010EF9C0"/>
    <w:rsid w:val="04AF6707"/>
    <w:rsid w:val="0D7D9C87"/>
    <w:rsid w:val="10399D02"/>
    <w:rsid w:val="11716F83"/>
    <w:rsid w:val="1498A29F"/>
    <w:rsid w:val="194A9AF7"/>
    <w:rsid w:val="1CD5EF7A"/>
    <w:rsid w:val="1D5FB2FF"/>
    <w:rsid w:val="21D713BD"/>
    <w:rsid w:val="2B0455BD"/>
    <w:rsid w:val="2CB245A0"/>
    <w:rsid w:val="3A7767F4"/>
    <w:rsid w:val="4C3C9365"/>
    <w:rsid w:val="4C7B0938"/>
    <w:rsid w:val="4E2BC6D0"/>
    <w:rsid w:val="51399115"/>
    <w:rsid w:val="5ECA3A06"/>
    <w:rsid w:val="70A3E148"/>
    <w:rsid w:val="74F8BE81"/>
    <w:rsid w:val="76DEAF25"/>
    <w:rsid w:val="77C89A54"/>
    <w:rsid w:val="7C3CA9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17F01"/>
  <w15:docId w15:val="{8C1105CE-C9F1-E941-9D5B-E6781C72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31"/>
    <w:pPr>
      <w:spacing w:before="120" w:after="120" w:line="240" w:lineRule="auto"/>
    </w:pPr>
    <w:rPr>
      <w:rFonts w:ascii="Arial" w:hAnsi="Arial"/>
      <w:color w:val="000000" w:themeColor="text1"/>
    </w:rPr>
  </w:style>
  <w:style w:type="paragraph" w:styleId="Heading1">
    <w:name w:val="heading 1"/>
    <w:basedOn w:val="Normal"/>
    <w:next w:val="Normal"/>
    <w:link w:val="Heading1Char"/>
    <w:uiPriority w:val="9"/>
    <w:qFormat/>
    <w:rsid w:val="009C6E31"/>
    <w:pPr>
      <w:spacing w:before="480" w:after="24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9C6E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9C6E31"/>
    <w:pPr>
      <w:spacing w:before="200"/>
      <w:outlineLvl w:val="4"/>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31"/>
    <w:rPr>
      <w:rFonts w:ascii="Arial" w:eastAsiaTheme="majorEastAsia" w:hAnsi="Arial" w:cstheme="majorBidi"/>
      <w:b/>
      <w:bCs/>
      <w:color w:val="000000" w:themeColor="text1"/>
      <w:sz w:val="28"/>
      <w:szCs w:val="28"/>
    </w:rPr>
  </w:style>
  <w:style w:type="character" w:customStyle="1" w:styleId="Heading5Char">
    <w:name w:val="Heading 5 Char"/>
    <w:basedOn w:val="DefaultParagraphFont"/>
    <w:link w:val="Heading5"/>
    <w:uiPriority w:val="9"/>
    <w:rsid w:val="009C6E31"/>
    <w:rPr>
      <w:rFonts w:asciiTheme="majorHAnsi" w:eastAsiaTheme="majorEastAsia" w:hAnsiTheme="majorHAnsi" w:cstheme="majorBidi"/>
      <w:b/>
      <w:bCs/>
      <w:color w:val="7F7F7F" w:themeColor="text1" w:themeTint="80"/>
    </w:rPr>
  </w:style>
  <w:style w:type="paragraph" w:styleId="Title">
    <w:name w:val="Title"/>
    <w:basedOn w:val="Normal"/>
    <w:next w:val="Normal"/>
    <w:link w:val="TitleChar"/>
    <w:uiPriority w:val="10"/>
    <w:qFormat/>
    <w:rsid w:val="009C6E31"/>
    <w:pPr>
      <w:spacing w:after="240"/>
      <w:contextualSpacing/>
      <w:jc w:val="center"/>
    </w:pPr>
    <w:rPr>
      <w:rFonts w:eastAsiaTheme="majorEastAsia" w:cstheme="majorBidi"/>
      <w:b/>
      <w:spacing w:val="5"/>
      <w:sz w:val="40"/>
      <w:szCs w:val="52"/>
    </w:rPr>
  </w:style>
  <w:style w:type="character" w:customStyle="1" w:styleId="TitleChar">
    <w:name w:val="Title Char"/>
    <w:basedOn w:val="DefaultParagraphFont"/>
    <w:link w:val="Title"/>
    <w:uiPriority w:val="10"/>
    <w:rsid w:val="009C6E31"/>
    <w:rPr>
      <w:rFonts w:ascii="Arial" w:eastAsiaTheme="majorEastAsia" w:hAnsi="Arial" w:cstheme="majorBidi"/>
      <w:b/>
      <w:color w:val="000000" w:themeColor="text1"/>
      <w:spacing w:val="5"/>
      <w:sz w:val="40"/>
      <w:szCs w:val="52"/>
    </w:rPr>
  </w:style>
  <w:style w:type="paragraph" w:styleId="ListParagraph">
    <w:name w:val="List Paragraph"/>
    <w:basedOn w:val="Normal"/>
    <w:uiPriority w:val="34"/>
    <w:qFormat/>
    <w:rsid w:val="009C6E31"/>
    <w:pPr>
      <w:ind w:left="720"/>
      <w:contextualSpacing/>
    </w:pPr>
  </w:style>
  <w:style w:type="character" w:styleId="SubtleEmphasis">
    <w:name w:val="Subtle Emphasis"/>
    <w:uiPriority w:val="19"/>
    <w:qFormat/>
    <w:rsid w:val="009C6E31"/>
    <w:rPr>
      <w:rFonts w:ascii="Arial" w:hAnsi="Arial"/>
      <w:i/>
      <w:iCs/>
      <w:sz w:val="22"/>
    </w:rPr>
  </w:style>
  <w:style w:type="table" w:styleId="TableGrid">
    <w:name w:val="Table Grid"/>
    <w:basedOn w:val="TableNormal"/>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6E3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E31"/>
    <w:rPr>
      <w:rFonts w:ascii="Tahoma" w:hAnsi="Tahoma" w:cs="Tahoma"/>
      <w:color w:val="000000" w:themeColor="text1"/>
      <w:sz w:val="16"/>
      <w:szCs w:val="16"/>
    </w:rPr>
  </w:style>
  <w:style w:type="character" w:customStyle="1" w:styleId="Heading2Char">
    <w:name w:val="Heading 2 Char"/>
    <w:basedOn w:val="DefaultParagraphFont"/>
    <w:link w:val="Heading2"/>
    <w:uiPriority w:val="9"/>
    <w:rsid w:val="009C6E31"/>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948"/>
    <w:pPr>
      <w:tabs>
        <w:tab w:val="center" w:pos="4513"/>
        <w:tab w:val="right" w:pos="9026"/>
      </w:tabs>
      <w:spacing w:before="0" w:after="0"/>
    </w:pPr>
  </w:style>
  <w:style w:type="character" w:customStyle="1" w:styleId="HeaderChar">
    <w:name w:val="Header Char"/>
    <w:basedOn w:val="DefaultParagraphFont"/>
    <w:link w:val="Header"/>
    <w:uiPriority w:val="99"/>
    <w:rsid w:val="003D6948"/>
    <w:rPr>
      <w:rFonts w:ascii="Arial" w:hAnsi="Arial"/>
      <w:color w:val="000000" w:themeColor="text1"/>
    </w:rPr>
  </w:style>
  <w:style w:type="paragraph" w:styleId="Footer">
    <w:name w:val="footer"/>
    <w:basedOn w:val="Normal"/>
    <w:link w:val="FooterChar"/>
    <w:uiPriority w:val="99"/>
    <w:unhideWhenUsed/>
    <w:rsid w:val="003D6948"/>
    <w:pPr>
      <w:tabs>
        <w:tab w:val="center" w:pos="4513"/>
        <w:tab w:val="right" w:pos="9026"/>
      </w:tabs>
      <w:spacing w:before="0" w:after="0"/>
    </w:pPr>
  </w:style>
  <w:style w:type="character" w:customStyle="1" w:styleId="FooterChar">
    <w:name w:val="Footer Char"/>
    <w:basedOn w:val="DefaultParagraphFont"/>
    <w:link w:val="Footer"/>
    <w:uiPriority w:val="99"/>
    <w:rsid w:val="003D6948"/>
    <w:rPr>
      <w:rFonts w:ascii="Arial" w:hAnsi="Arial"/>
      <w:color w:val="000000" w:themeColor="text1"/>
    </w:rPr>
  </w:style>
  <w:style w:type="paragraph" w:styleId="BodyText2">
    <w:name w:val="Body Text 2"/>
    <w:basedOn w:val="BodyText"/>
    <w:link w:val="BodyText2Char"/>
    <w:qFormat/>
    <w:rsid w:val="008E657A"/>
    <w:pPr>
      <w:spacing w:before="0" w:after="280" w:line="360" w:lineRule="atLeast"/>
    </w:pPr>
    <w:rPr>
      <w:color w:val="231F20"/>
      <w:sz w:val="24"/>
      <w:szCs w:val="24"/>
    </w:rPr>
  </w:style>
  <w:style w:type="character" w:customStyle="1" w:styleId="BodyText2Char">
    <w:name w:val="Body Text 2 Char"/>
    <w:basedOn w:val="DefaultParagraphFont"/>
    <w:link w:val="BodyText2"/>
    <w:rsid w:val="008E657A"/>
    <w:rPr>
      <w:rFonts w:ascii="Arial" w:hAnsi="Arial"/>
      <w:color w:val="231F20"/>
      <w:sz w:val="24"/>
      <w:szCs w:val="24"/>
    </w:rPr>
  </w:style>
  <w:style w:type="paragraph" w:styleId="BodyText">
    <w:name w:val="Body Text"/>
    <w:basedOn w:val="Normal"/>
    <w:link w:val="BodyTextChar"/>
    <w:uiPriority w:val="99"/>
    <w:semiHidden/>
    <w:unhideWhenUsed/>
    <w:rsid w:val="008E657A"/>
  </w:style>
  <w:style w:type="character" w:customStyle="1" w:styleId="BodyTextChar">
    <w:name w:val="Body Text Char"/>
    <w:basedOn w:val="DefaultParagraphFont"/>
    <w:link w:val="BodyText"/>
    <w:uiPriority w:val="99"/>
    <w:semiHidden/>
    <w:rsid w:val="008E657A"/>
    <w:rPr>
      <w:rFonts w:ascii="Arial" w:hAnsi="Arial"/>
      <w:color w:val="000000" w:themeColor="text1"/>
    </w:rPr>
  </w:style>
  <w:style w:type="character" w:styleId="CommentReference">
    <w:name w:val="annotation reference"/>
    <w:basedOn w:val="DefaultParagraphFont"/>
    <w:uiPriority w:val="99"/>
    <w:semiHidden/>
    <w:unhideWhenUsed/>
    <w:rsid w:val="00C86BE0"/>
    <w:rPr>
      <w:sz w:val="16"/>
      <w:szCs w:val="16"/>
    </w:rPr>
  </w:style>
  <w:style w:type="paragraph" w:styleId="CommentText">
    <w:name w:val="annotation text"/>
    <w:basedOn w:val="Normal"/>
    <w:link w:val="CommentTextChar"/>
    <w:uiPriority w:val="99"/>
    <w:unhideWhenUsed/>
    <w:rsid w:val="00C86BE0"/>
    <w:rPr>
      <w:sz w:val="20"/>
      <w:szCs w:val="20"/>
    </w:rPr>
  </w:style>
  <w:style w:type="character" w:customStyle="1" w:styleId="CommentTextChar">
    <w:name w:val="Comment Text Char"/>
    <w:basedOn w:val="DefaultParagraphFont"/>
    <w:link w:val="CommentText"/>
    <w:uiPriority w:val="99"/>
    <w:rsid w:val="00C86BE0"/>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86BE0"/>
    <w:rPr>
      <w:b/>
      <w:bCs/>
    </w:rPr>
  </w:style>
  <w:style w:type="character" w:customStyle="1" w:styleId="CommentSubjectChar">
    <w:name w:val="Comment Subject Char"/>
    <w:basedOn w:val="CommentTextChar"/>
    <w:link w:val="CommentSubject"/>
    <w:uiPriority w:val="99"/>
    <w:semiHidden/>
    <w:rsid w:val="00C86BE0"/>
    <w:rPr>
      <w:rFonts w:ascii="Arial" w:hAnsi="Arial"/>
      <w:b/>
      <w:bCs/>
      <w:color w:val="000000" w:themeColor="text1"/>
      <w:sz w:val="20"/>
      <w:szCs w:val="20"/>
    </w:rPr>
  </w:style>
  <w:style w:type="character" w:customStyle="1" w:styleId="FooterPipe">
    <w:name w:val="Footer Pipe"/>
    <w:basedOn w:val="DefaultParagraphFont"/>
    <w:uiPriority w:val="1"/>
    <w:rsid w:val="00004D12"/>
    <w:rPr>
      <w:b/>
      <w:color w:val="005EB8"/>
    </w:rPr>
  </w:style>
  <w:style w:type="paragraph" w:customStyle="1" w:styleId="Spacer">
    <w:name w:val="Spacer"/>
    <w:basedOn w:val="Normal"/>
    <w:next w:val="Normal"/>
    <w:rsid w:val="00004D12"/>
    <w:pPr>
      <w:spacing w:before="0" w:after="0"/>
    </w:pPr>
    <w:rPr>
      <w:color w:val="231F20"/>
      <w:sz w:val="2"/>
      <w:szCs w:val="24"/>
    </w:rPr>
  </w:style>
  <w:style w:type="character" w:styleId="Hyperlink">
    <w:name w:val="Hyperlink"/>
    <w:basedOn w:val="DefaultParagraphFont"/>
    <w:uiPriority w:val="99"/>
    <w:unhideWhenUsed/>
    <w:rsid w:val="00004D12"/>
    <w:rPr>
      <w:color w:val="0000FF" w:themeColor="hyperlink"/>
      <w:u w:val="single"/>
    </w:rPr>
  </w:style>
  <w:style w:type="paragraph" w:styleId="ListBullet">
    <w:name w:val="List Bullet"/>
    <w:basedOn w:val="BodyText"/>
    <w:unhideWhenUsed/>
    <w:qFormat/>
    <w:rsid w:val="003F724B"/>
    <w:pPr>
      <w:numPr>
        <w:numId w:val="3"/>
      </w:numPr>
      <w:spacing w:before="0" w:after="50" w:line="360" w:lineRule="atLeast"/>
    </w:pPr>
    <w:rPr>
      <w:color w:val="231F20"/>
      <w:sz w:val="24"/>
      <w:szCs w:val="24"/>
    </w:rPr>
  </w:style>
  <w:style w:type="paragraph" w:customStyle="1" w:styleId="LastBullet2">
    <w:name w:val="Last Bullet 2"/>
    <w:basedOn w:val="Normal"/>
    <w:next w:val="BodyText"/>
    <w:qFormat/>
    <w:rsid w:val="003F724B"/>
    <w:pPr>
      <w:numPr>
        <w:ilvl w:val="1"/>
        <w:numId w:val="3"/>
      </w:numPr>
      <w:spacing w:before="0" w:after="280" w:line="360" w:lineRule="atLeast"/>
    </w:pPr>
    <w:rPr>
      <w:color w:val="231F20"/>
      <w:sz w:val="24"/>
      <w:szCs w:val="24"/>
    </w:rPr>
  </w:style>
  <w:style w:type="paragraph" w:styleId="Revision">
    <w:name w:val="Revision"/>
    <w:hidden/>
    <w:uiPriority w:val="99"/>
    <w:semiHidden/>
    <w:rsid w:val="00963324"/>
    <w:pPr>
      <w:spacing w:after="0" w:line="240" w:lineRule="auto"/>
    </w:pPr>
    <w:rPr>
      <w:rFonts w:ascii="Arial" w:hAnsi="Arial"/>
      <w:color w:val="000000" w:themeColor="text1"/>
    </w:rPr>
  </w:style>
  <w:style w:type="character" w:styleId="FollowedHyperlink">
    <w:name w:val="FollowedHyperlink"/>
    <w:basedOn w:val="DefaultParagraphFont"/>
    <w:uiPriority w:val="99"/>
    <w:semiHidden/>
    <w:unhideWhenUsed/>
    <w:rsid w:val="007B18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73759">
      <w:bodyDiv w:val="1"/>
      <w:marLeft w:val="0"/>
      <w:marRight w:val="0"/>
      <w:marTop w:val="0"/>
      <w:marBottom w:val="0"/>
      <w:divBdr>
        <w:top w:val="none" w:sz="0" w:space="0" w:color="auto"/>
        <w:left w:val="none" w:sz="0" w:space="0" w:color="auto"/>
        <w:bottom w:val="none" w:sz="0" w:space="0" w:color="auto"/>
        <w:right w:val="none" w:sz="0" w:space="0" w:color="auto"/>
      </w:divBdr>
    </w:div>
    <w:div w:id="672219104">
      <w:bodyDiv w:val="1"/>
      <w:marLeft w:val="0"/>
      <w:marRight w:val="0"/>
      <w:marTop w:val="0"/>
      <w:marBottom w:val="0"/>
      <w:divBdr>
        <w:top w:val="none" w:sz="0" w:space="0" w:color="auto"/>
        <w:left w:val="none" w:sz="0" w:space="0" w:color="auto"/>
        <w:bottom w:val="none" w:sz="0" w:space="0" w:color="auto"/>
        <w:right w:val="none" w:sz="0" w:space="0" w:color="auto"/>
      </w:divBdr>
    </w:div>
    <w:div w:id="1100297226">
      <w:bodyDiv w:val="1"/>
      <w:marLeft w:val="0"/>
      <w:marRight w:val="0"/>
      <w:marTop w:val="0"/>
      <w:marBottom w:val="0"/>
      <w:divBdr>
        <w:top w:val="none" w:sz="0" w:space="0" w:color="auto"/>
        <w:left w:val="none" w:sz="0" w:space="0" w:color="auto"/>
        <w:bottom w:val="none" w:sz="0" w:space="0" w:color="auto"/>
        <w:right w:val="none" w:sz="0" w:space="0" w:color="auto"/>
      </w:divBdr>
    </w:div>
    <w:div w:id="1197083109">
      <w:bodyDiv w:val="1"/>
      <w:marLeft w:val="0"/>
      <w:marRight w:val="0"/>
      <w:marTop w:val="0"/>
      <w:marBottom w:val="0"/>
      <w:divBdr>
        <w:top w:val="none" w:sz="0" w:space="0" w:color="auto"/>
        <w:left w:val="none" w:sz="0" w:space="0" w:color="auto"/>
        <w:bottom w:val="none" w:sz="0" w:space="0" w:color="auto"/>
        <w:right w:val="none" w:sz="0" w:space="0" w:color="auto"/>
      </w:divBdr>
    </w:div>
    <w:div w:id="1211310031">
      <w:bodyDiv w:val="1"/>
      <w:marLeft w:val="0"/>
      <w:marRight w:val="0"/>
      <w:marTop w:val="0"/>
      <w:marBottom w:val="0"/>
      <w:divBdr>
        <w:top w:val="none" w:sz="0" w:space="0" w:color="auto"/>
        <w:left w:val="none" w:sz="0" w:space="0" w:color="auto"/>
        <w:bottom w:val="none" w:sz="0" w:space="0" w:color="auto"/>
        <w:right w:val="none" w:sz="0" w:space="0" w:color="auto"/>
      </w:divBdr>
    </w:div>
    <w:div w:id="1277445241">
      <w:bodyDiv w:val="1"/>
      <w:marLeft w:val="0"/>
      <w:marRight w:val="0"/>
      <w:marTop w:val="0"/>
      <w:marBottom w:val="0"/>
      <w:divBdr>
        <w:top w:val="none" w:sz="0" w:space="0" w:color="auto"/>
        <w:left w:val="none" w:sz="0" w:space="0" w:color="auto"/>
        <w:bottom w:val="none" w:sz="0" w:space="0" w:color="auto"/>
        <w:right w:val="none" w:sz="0" w:space="0" w:color="auto"/>
      </w:divBdr>
    </w:div>
    <w:div w:id="1337272826">
      <w:bodyDiv w:val="1"/>
      <w:marLeft w:val="0"/>
      <w:marRight w:val="0"/>
      <w:marTop w:val="0"/>
      <w:marBottom w:val="0"/>
      <w:divBdr>
        <w:top w:val="none" w:sz="0" w:space="0" w:color="auto"/>
        <w:left w:val="none" w:sz="0" w:space="0" w:color="auto"/>
        <w:bottom w:val="none" w:sz="0" w:space="0" w:color="auto"/>
        <w:right w:val="none" w:sz="0" w:space="0" w:color="auto"/>
      </w:divBdr>
    </w:div>
    <w:div w:id="1717123514">
      <w:bodyDiv w:val="1"/>
      <w:marLeft w:val="0"/>
      <w:marRight w:val="0"/>
      <w:marTop w:val="0"/>
      <w:marBottom w:val="0"/>
      <w:divBdr>
        <w:top w:val="none" w:sz="0" w:space="0" w:color="auto"/>
        <w:left w:val="none" w:sz="0" w:space="0" w:color="auto"/>
        <w:bottom w:val="none" w:sz="0" w:space="0" w:color="auto"/>
        <w:right w:val="none" w:sz="0" w:space="0" w:color="auto"/>
      </w:divBdr>
    </w:div>
    <w:div w:id="178869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digitallive.service-now.com/csm?id=sc_category&amp;sys_id=8f4c30ab973792d0dd80f2df9153af9d&amp;catalog_id=-1&amp;spa=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TaxCatchAll xmlns="6ad2f829-d27b-4b66-86f0-7328853a73db" xsi:nil="true"/>
  </documentManagement>
</p:properties>
</file>

<file path=customXml/itemProps1.xml><?xml version="1.0" encoding="utf-8"?>
<ds:datastoreItem xmlns:ds="http://schemas.openxmlformats.org/officeDocument/2006/customXml" ds:itemID="{E606CC5E-EA6C-4A60-805A-C7C526F3FEA9}">
  <ds:schemaRefs>
    <ds:schemaRef ds:uri="http://schemas.microsoft.com/sharepoint/v3/contenttype/forms"/>
  </ds:schemaRefs>
</ds:datastoreItem>
</file>

<file path=customXml/itemProps2.xml><?xml version="1.0" encoding="utf-8"?>
<ds:datastoreItem xmlns:ds="http://schemas.openxmlformats.org/officeDocument/2006/customXml" ds:itemID="{03365C30-90AC-40FD-92DB-F060D9083BE2}">
  <ds:schemaRefs>
    <ds:schemaRef ds:uri="http://schemas.openxmlformats.org/officeDocument/2006/bibliography"/>
  </ds:schemaRefs>
</ds:datastoreItem>
</file>

<file path=customXml/itemProps3.xml><?xml version="1.0" encoding="utf-8"?>
<ds:datastoreItem xmlns:ds="http://schemas.openxmlformats.org/officeDocument/2006/customXml" ds:itemID="{729EF280-EE2C-44CB-BFD9-10A105F74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1CF125-47F3-4C78-92A5-973085C87899}">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3933</Characters>
  <Application>Microsoft Office Word</Application>
  <DocSecurity>0</DocSecurity>
  <Lines>81</Lines>
  <Paragraphs>49</Paragraphs>
  <ScaleCrop>false</ScaleCrop>
  <HeadingPairs>
    <vt:vector size="2" baseType="variant">
      <vt:variant>
        <vt:lpstr>Title</vt:lpstr>
      </vt:variant>
      <vt:variant>
        <vt:i4>1</vt:i4>
      </vt:variant>
    </vt:vector>
  </HeadingPairs>
  <TitlesOfParts>
    <vt:vector size="1" baseType="lpstr">
      <vt:lpstr/>
    </vt:vector>
  </TitlesOfParts>
  <Company>Kingston Hospital NHS Foundation Trust</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sbridgman</dc:creator>
  <cp:lastModifiedBy>KINDRED, Max (NHS ENGLAND)</cp:lastModifiedBy>
  <cp:revision>30</cp:revision>
  <dcterms:created xsi:type="dcterms:W3CDTF">2026-07-08T14:47:00Z</dcterms:created>
  <dcterms:modified xsi:type="dcterms:W3CDTF">2026-07-28T08:09:00Z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